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FEA5D" w14:textId="6502933F" w:rsidR="00761626" w:rsidRPr="00A61390" w:rsidRDefault="00761626" w:rsidP="00761626">
      <w:pPr>
        <w:rPr>
          <w:b/>
          <w:bCs/>
          <w:color w:val="1F3864" w:themeColor="accent1" w:themeShade="80"/>
          <w:sz w:val="36"/>
          <w:szCs w:val="36"/>
        </w:rPr>
      </w:pPr>
      <w:bookmarkStart w:id="0" w:name="_GoBack"/>
      <w:r w:rsidRPr="00A61390">
        <w:rPr>
          <w:b/>
          <w:bCs/>
          <w:color w:val="1F3864" w:themeColor="accent1" w:themeShade="80"/>
          <w:sz w:val="36"/>
          <w:szCs w:val="36"/>
        </w:rPr>
        <w:t xml:space="preserve">Top 5 errors CPAs </w:t>
      </w:r>
      <w:r w:rsidR="00720DE9" w:rsidRPr="00A61390">
        <w:rPr>
          <w:b/>
          <w:bCs/>
          <w:color w:val="1F3864" w:themeColor="accent1" w:themeShade="80"/>
          <w:sz w:val="36"/>
          <w:szCs w:val="36"/>
        </w:rPr>
        <w:t>make</w:t>
      </w:r>
      <w:r w:rsidRPr="00A61390">
        <w:rPr>
          <w:b/>
          <w:bCs/>
          <w:color w:val="1F3864" w:themeColor="accent1" w:themeShade="80"/>
          <w:sz w:val="36"/>
          <w:szCs w:val="36"/>
        </w:rPr>
        <w:t xml:space="preserve"> when calculating the ERC </w:t>
      </w:r>
    </w:p>
    <w:p w14:paraId="60954ED9" w14:textId="77777777" w:rsidR="00761626" w:rsidRPr="00A61390" w:rsidRDefault="00761626" w:rsidP="00761626">
      <w:pPr>
        <w:rPr>
          <w:color w:val="1F3864" w:themeColor="accent1" w:themeShade="80"/>
        </w:rPr>
      </w:pPr>
    </w:p>
    <w:p w14:paraId="47A2343B" w14:textId="2D8B549A" w:rsidR="00761626" w:rsidRPr="00A61390" w:rsidRDefault="00761626" w:rsidP="00761626">
      <w:pPr>
        <w:rPr>
          <w:color w:val="1F3864" w:themeColor="accent1" w:themeShade="80"/>
        </w:rPr>
      </w:pPr>
      <w:r w:rsidRPr="00A61390">
        <w:rPr>
          <w:color w:val="1F3864" w:themeColor="accent1" w:themeShade="80"/>
        </w:rPr>
        <w:t>More CPAs and their clients are aware of the value of the Employee Retention Credit ... Excellent!</w:t>
      </w:r>
      <w:r w:rsidR="00720DE9" w:rsidRPr="00A61390">
        <w:rPr>
          <w:color w:val="1F3864" w:themeColor="accent1" w:themeShade="80"/>
        </w:rPr>
        <w:t xml:space="preserve"> But</w:t>
      </w:r>
      <w:r w:rsidR="00482E14" w:rsidRPr="00A61390">
        <w:rPr>
          <w:color w:val="1F3864" w:themeColor="accent1" w:themeShade="80"/>
        </w:rPr>
        <w:t xml:space="preserve"> </w:t>
      </w:r>
      <w:r w:rsidR="00720DE9" w:rsidRPr="00A61390">
        <w:rPr>
          <w:color w:val="1F3864" w:themeColor="accent1" w:themeShade="80"/>
        </w:rPr>
        <w:t>m</w:t>
      </w:r>
      <w:r w:rsidRPr="00A61390">
        <w:rPr>
          <w:color w:val="1F3864" w:themeColor="accent1" w:themeShade="80"/>
        </w:rPr>
        <w:t>any busines</w:t>
      </w:r>
      <w:r w:rsidR="00482E14" w:rsidRPr="00A61390">
        <w:rPr>
          <w:color w:val="1F3864" w:themeColor="accent1" w:themeShade="80"/>
        </w:rPr>
        <w:t>s</w:t>
      </w:r>
      <w:r w:rsidRPr="00A61390">
        <w:rPr>
          <w:color w:val="1F3864" w:themeColor="accent1" w:themeShade="80"/>
        </w:rPr>
        <w:t xml:space="preserve"> owners are being promised the full $26,000 per employee credit by “here today, gone tomorrow” providers</w:t>
      </w:r>
      <w:r w:rsidR="00B0486E" w:rsidRPr="00A61390">
        <w:rPr>
          <w:color w:val="1F3864" w:themeColor="accent1" w:themeShade="80"/>
        </w:rPr>
        <w:t>.</w:t>
      </w:r>
    </w:p>
    <w:p w14:paraId="75DDA603" w14:textId="77777777" w:rsidR="00761626" w:rsidRPr="00A61390" w:rsidRDefault="00761626" w:rsidP="00761626">
      <w:pPr>
        <w:rPr>
          <w:color w:val="1F3864" w:themeColor="accent1" w:themeShade="80"/>
        </w:rPr>
      </w:pPr>
    </w:p>
    <w:p w14:paraId="50AA09AF" w14:textId="0E029D0F" w:rsidR="00761626" w:rsidRPr="00A61390" w:rsidRDefault="00761626" w:rsidP="00761626">
      <w:pPr>
        <w:rPr>
          <w:color w:val="1F3864" w:themeColor="accent1" w:themeShade="80"/>
        </w:rPr>
      </w:pPr>
      <w:r w:rsidRPr="00A61390">
        <w:rPr>
          <w:color w:val="1F3864" w:themeColor="accent1" w:themeShade="80"/>
        </w:rPr>
        <w:t>As a result, the IRS recently</w:t>
      </w:r>
      <w:r w:rsidR="00A61390" w:rsidRPr="00A61390">
        <w:rPr>
          <w:color w:val="1F3864" w:themeColor="accent1" w:themeShade="80"/>
        </w:rPr>
        <w:t xml:space="preserve"> issued IR-2022-183, warning</w:t>
      </w:r>
      <w:r w:rsidRPr="00A61390">
        <w:rPr>
          <w:color w:val="1F3864" w:themeColor="accent1" w:themeShade="80"/>
        </w:rPr>
        <w:t xml:space="preserve"> against third parties that are improperly computing the credit; advising businesses to claim when they may not qualify; not gathering, applying and documenting facts correctly; and not providing business owners the full story about the ERC. Further, the IRS issued a 72-page ERC training guideline for its examiners and now requires its auditors to complete a 56-hour training course. </w:t>
      </w:r>
    </w:p>
    <w:p w14:paraId="01FBC30C" w14:textId="77777777" w:rsidR="00761626" w:rsidRPr="00A61390" w:rsidRDefault="00761626" w:rsidP="00761626">
      <w:pPr>
        <w:rPr>
          <w:color w:val="1F3864" w:themeColor="accent1" w:themeShade="80"/>
        </w:rPr>
      </w:pPr>
    </w:p>
    <w:p w14:paraId="26426501" w14:textId="46A8601B" w:rsidR="00761626" w:rsidRPr="00A61390" w:rsidRDefault="00A61390" w:rsidP="00761626">
      <w:pPr>
        <w:rPr>
          <w:color w:val="1F3864" w:themeColor="accent1" w:themeShade="80"/>
        </w:rPr>
      </w:pPr>
      <w:r w:rsidRPr="00A61390">
        <w:rPr>
          <w:color w:val="1F3864" w:themeColor="accent1" w:themeShade="80"/>
        </w:rPr>
        <w:t>Y</w:t>
      </w:r>
      <w:r w:rsidR="00761626" w:rsidRPr="00A61390">
        <w:rPr>
          <w:color w:val="1F3864" w:themeColor="accent1" w:themeShade="80"/>
        </w:rPr>
        <w:t xml:space="preserve">ou may be saying to yourself that CPA’s can’t be responsible if clients engage a third party. Wrong! </w:t>
      </w:r>
      <w:r w:rsidR="00B0486E" w:rsidRPr="00A61390">
        <w:rPr>
          <w:color w:val="1F3864" w:themeColor="accent1" w:themeShade="80"/>
        </w:rPr>
        <w:t>The</w:t>
      </w:r>
      <w:r w:rsidR="00761626" w:rsidRPr="00A61390">
        <w:rPr>
          <w:color w:val="1F3864" w:themeColor="accent1" w:themeShade="80"/>
        </w:rPr>
        <w:t xml:space="preserve"> AICPA Code of Professional Conduct requires a CPA to do due diligence to determine whether the third party has the appropriate expertise in the area relied upon by </w:t>
      </w:r>
      <w:r w:rsidRPr="00A61390">
        <w:rPr>
          <w:color w:val="1F3864" w:themeColor="accent1" w:themeShade="80"/>
        </w:rPr>
        <w:t>the CPA. I</w:t>
      </w:r>
      <w:r w:rsidR="00761626" w:rsidRPr="00A61390">
        <w:rPr>
          <w:color w:val="1F3864" w:themeColor="accent1" w:themeShade="80"/>
        </w:rPr>
        <w:t>f you</w:t>
      </w:r>
      <w:r w:rsidR="00821A38" w:rsidRPr="00A61390">
        <w:rPr>
          <w:color w:val="1F3864" w:themeColor="accent1" w:themeShade="80"/>
        </w:rPr>
        <w:t>’</w:t>
      </w:r>
      <w:r w:rsidR="00761626" w:rsidRPr="00A61390">
        <w:rPr>
          <w:color w:val="1F3864" w:themeColor="accent1" w:themeShade="80"/>
        </w:rPr>
        <w:t>re sig</w:t>
      </w:r>
      <w:r w:rsidRPr="00A61390">
        <w:rPr>
          <w:color w:val="1F3864" w:themeColor="accent1" w:themeShade="80"/>
        </w:rPr>
        <w:t xml:space="preserve">ning the tax return, </w:t>
      </w:r>
      <w:r w:rsidR="00761626" w:rsidRPr="00A61390">
        <w:rPr>
          <w:color w:val="1F3864" w:themeColor="accent1" w:themeShade="80"/>
        </w:rPr>
        <w:t xml:space="preserve">do your due diligence! </w:t>
      </w:r>
    </w:p>
    <w:p w14:paraId="3A16440E" w14:textId="77777777" w:rsidR="00821A38" w:rsidRPr="00A61390" w:rsidRDefault="00821A38" w:rsidP="00761626">
      <w:pPr>
        <w:rPr>
          <w:color w:val="1F3864" w:themeColor="accent1" w:themeShade="80"/>
        </w:rPr>
      </w:pPr>
    </w:p>
    <w:p w14:paraId="5273BD40" w14:textId="081C70C6" w:rsidR="00821A38" w:rsidRPr="00A61390" w:rsidRDefault="00761626" w:rsidP="00720DE9">
      <w:pPr>
        <w:rPr>
          <w:color w:val="1F3864" w:themeColor="accent1" w:themeShade="80"/>
        </w:rPr>
      </w:pPr>
      <w:r w:rsidRPr="00A61390">
        <w:rPr>
          <w:b/>
          <w:bCs/>
          <w:color w:val="1F3864" w:themeColor="accent1" w:themeShade="80"/>
          <w:sz w:val="32"/>
          <w:szCs w:val="32"/>
        </w:rPr>
        <w:t xml:space="preserve">Top 5 ERC Errors </w:t>
      </w:r>
      <w:r w:rsidR="00720DE9" w:rsidRPr="00A61390">
        <w:rPr>
          <w:b/>
          <w:bCs/>
          <w:color w:val="1F3864" w:themeColor="accent1" w:themeShade="80"/>
          <w:sz w:val="32"/>
          <w:szCs w:val="32"/>
        </w:rPr>
        <w:br/>
      </w:r>
      <w:r w:rsidR="008E58C5" w:rsidRPr="00A61390">
        <w:rPr>
          <w:b/>
          <w:bCs/>
          <w:color w:val="1F3864" w:themeColor="accent1" w:themeShade="80"/>
        </w:rPr>
        <w:br/>
        <w:t>E</w:t>
      </w:r>
      <w:r w:rsidR="00E852AA" w:rsidRPr="00A61390">
        <w:rPr>
          <w:b/>
          <w:bCs/>
          <w:color w:val="1F3864" w:themeColor="accent1" w:themeShade="80"/>
        </w:rPr>
        <w:t xml:space="preserve">RROR 1: </w:t>
      </w:r>
      <w:r w:rsidRPr="00A61390">
        <w:rPr>
          <w:b/>
          <w:bCs/>
          <w:color w:val="1F3864" w:themeColor="accent1" w:themeShade="80"/>
        </w:rPr>
        <w:t>If you were affected by COVID</w:t>
      </w:r>
      <w:r w:rsidR="00B0486E" w:rsidRPr="00A61390">
        <w:rPr>
          <w:b/>
          <w:bCs/>
          <w:color w:val="1F3864" w:themeColor="accent1" w:themeShade="80"/>
        </w:rPr>
        <w:t>,</w:t>
      </w:r>
      <w:r w:rsidRPr="00A61390">
        <w:rPr>
          <w:b/>
          <w:bCs/>
          <w:color w:val="1F3864" w:themeColor="accent1" w:themeShade="80"/>
        </w:rPr>
        <w:t xml:space="preserve"> you</w:t>
      </w:r>
      <w:r w:rsidR="00482E14" w:rsidRPr="00A61390">
        <w:rPr>
          <w:b/>
          <w:bCs/>
          <w:color w:val="1F3864" w:themeColor="accent1" w:themeShade="80"/>
        </w:rPr>
        <w:t>’re</w:t>
      </w:r>
      <w:r w:rsidRPr="00A61390">
        <w:rPr>
          <w:b/>
          <w:bCs/>
          <w:color w:val="1F3864" w:themeColor="accent1" w:themeShade="80"/>
        </w:rPr>
        <w:t xml:space="preserve"> qualified for </w:t>
      </w:r>
      <w:r w:rsidR="00482E14" w:rsidRPr="00A61390">
        <w:rPr>
          <w:b/>
          <w:bCs/>
          <w:color w:val="1F3864" w:themeColor="accent1" w:themeShade="80"/>
        </w:rPr>
        <w:t xml:space="preserve">the </w:t>
      </w:r>
      <w:r w:rsidRPr="00A61390">
        <w:rPr>
          <w:b/>
          <w:bCs/>
          <w:color w:val="1F3864" w:themeColor="accent1" w:themeShade="80"/>
        </w:rPr>
        <w:t>ERC</w:t>
      </w:r>
      <w:r w:rsidR="00E852AA" w:rsidRPr="00A61390">
        <w:rPr>
          <w:b/>
          <w:bCs/>
          <w:color w:val="1F3864" w:themeColor="accent1" w:themeShade="80"/>
        </w:rPr>
        <w:t>.</w:t>
      </w:r>
      <w:r w:rsidR="00E852AA" w:rsidRPr="00A61390">
        <w:rPr>
          <w:color w:val="1F3864" w:themeColor="accent1" w:themeShade="80"/>
        </w:rPr>
        <w:br/>
      </w:r>
      <w:r w:rsidRPr="00A61390">
        <w:rPr>
          <w:color w:val="1F3864" w:themeColor="accent1" w:themeShade="80"/>
        </w:rPr>
        <w:t>What an overgeneralization!</w:t>
      </w:r>
      <w:r w:rsidR="00B0486E" w:rsidRPr="00A61390">
        <w:rPr>
          <w:color w:val="1F3864" w:themeColor="accent1" w:themeShade="80"/>
        </w:rPr>
        <w:t xml:space="preserve"> T</w:t>
      </w:r>
      <w:r w:rsidR="00482E14" w:rsidRPr="00A61390">
        <w:rPr>
          <w:color w:val="1F3864" w:themeColor="accent1" w:themeShade="80"/>
        </w:rPr>
        <w:t xml:space="preserve">wo paths can be taken </w:t>
      </w:r>
      <w:r w:rsidRPr="00A61390">
        <w:rPr>
          <w:color w:val="1F3864" w:themeColor="accent1" w:themeShade="80"/>
        </w:rPr>
        <w:t xml:space="preserve">to qualify for the ERC: revenue decline and impact on the business. </w:t>
      </w:r>
      <w:r w:rsidR="00720DE9" w:rsidRPr="00A61390">
        <w:rPr>
          <w:color w:val="1F3864" w:themeColor="accent1" w:themeShade="80"/>
        </w:rPr>
        <w:t>M</w:t>
      </w:r>
      <w:r w:rsidRPr="00A61390">
        <w:rPr>
          <w:color w:val="1F3864" w:themeColor="accent1" w:themeShade="80"/>
        </w:rPr>
        <w:t>any believe they can qualify for “any” complications their business had due to COVID. No</w:t>
      </w:r>
      <w:r w:rsidR="00B0486E" w:rsidRPr="00A61390">
        <w:rPr>
          <w:color w:val="1F3864" w:themeColor="accent1" w:themeShade="80"/>
        </w:rPr>
        <w:t>t so</w:t>
      </w:r>
      <w:r w:rsidRPr="00A61390">
        <w:rPr>
          <w:color w:val="1F3864" w:themeColor="accent1" w:themeShade="80"/>
        </w:rPr>
        <w:t>. Merely adjusting operations in response to COVID is not enough to qualify for the ERC.</w:t>
      </w:r>
      <w:r w:rsidR="00482E14" w:rsidRPr="00A61390">
        <w:rPr>
          <w:color w:val="1F3864" w:themeColor="accent1" w:themeShade="80"/>
        </w:rPr>
        <w:t xml:space="preserve"> </w:t>
      </w:r>
      <w:r w:rsidR="00B0486E" w:rsidRPr="00A61390">
        <w:rPr>
          <w:color w:val="1F3864" w:themeColor="accent1" w:themeShade="80"/>
        </w:rPr>
        <w:t>To</w:t>
      </w:r>
      <w:r w:rsidRPr="00A61390">
        <w:rPr>
          <w:color w:val="1F3864" w:themeColor="accent1" w:themeShade="80"/>
        </w:rPr>
        <w:t xml:space="preserve"> be eligible under the business impact test</w:t>
      </w:r>
      <w:r w:rsidR="00B0486E" w:rsidRPr="00A61390">
        <w:rPr>
          <w:color w:val="1F3864" w:themeColor="accent1" w:themeShade="80"/>
        </w:rPr>
        <w:t xml:space="preserve">, you must </w:t>
      </w:r>
      <w:r w:rsidR="00821A38" w:rsidRPr="00A61390">
        <w:rPr>
          <w:color w:val="1F3864" w:themeColor="accent1" w:themeShade="80"/>
        </w:rPr>
        <w:t>show that a specific COVID-related government order or mandate caused the impact to your busines</w:t>
      </w:r>
      <w:r w:rsidR="00B0486E" w:rsidRPr="00A61390">
        <w:rPr>
          <w:color w:val="1F3864" w:themeColor="accent1" w:themeShade="80"/>
        </w:rPr>
        <w:t xml:space="preserve">s, and you must </w:t>
      </w:r>
      <w:r w:rsidR="00821A38" w:rsidRPr="00A61390">
        <w:rPr>
          <w:color w:val="1F3864" w:themeColor="accent1" w:themeShade="80"/>
        </w:rPr>
        <w:t>show the extent and duration of that impact</w:t>
      </w:r>
      <w:r w:rsidR="00B0486E" w:rsidRPr="00A61390">
        <w:rPr>
          <w:color w:val="1F3864" w:themeColor="accent1" w:themeShade="80"/>
        </w:rPr>
        <w:t>.</w:t>
      </w:r>
      <w:r w:rsidR="00E852AA" w:rsidRPr="00A61390">
        <w:rPr>
          <w:color w:val="1F3864" w:themeColor="accent1" w:themeShade="80"/>
        </w:rPr>
        <w:br/>
      </w:r>
      <w:r w:rsidR="00E852AA" w:rsidRPr="00A61390">
        <w:rPr>
          <w:color w:val="1F3864" w:themeColor="accent1" w:themeShade="80"/>
        </w:rPr>
        <w:br/>
      </w:r>
      <w:r w:rsidR="00E852AA" w:rsidRPr="00A61390">
        <w:rPr>
          <w:b/>
          <w:bCs/>
          <w:color w:val="1F3864" w:themeColor="accent1" w:themeShade="80"/>
        </w:rPr>
        <w:t xml:space="preserve">ERROR </w:t>
      </w:r>
      <w:r w:rsidR="00720DE9" w:rsidRPr="00A61390">
        <w:rPr>
          <w:b/>
          <w:bCs/>
          <w:color w:val="1F3864" w:themeColor="accent1" w:themeShade="80"/>
        </w:rPr>
        <w:t>2</w:t>
      </w:r>
      <w:r w:rsidR="00E852AA" w:rsidRPr="00A61390">
        <w:rPr>
          <w:b/>
          <w:bCs/>
          <w:color w:val="1F3864" w:themeColor="accent1" w:themeShade="80"/>
        </w:rPr>
        <w:t xml:space="preserve">: </w:t>
      </w:r>
      <w:r w:rsidR="00720DE9" w:rsidRPr="00A61390">
        <w:rPr>
          <w:b/>
          <w:bCs/>
          <w:color w:val="1F3864" w:themeColor="accent1" w:themeShade="80"/>
        </w:rPr>
        <w:t>Any government guideline qualifies you for ERC.</w:t>
      </w:r>
      <w:r w:rsidR="00720DE9" w:rsidRPr="00A61390">
        <w:rPr>
          <w:b/>
          <w:bCs/>
          <w:color w:val="1F3864" w:themeColor="accent1" w:themeShade="80"/>
        </w:rPr>
        <w:br/>
      </w:r>
      <w:r w:rsidR="00821A38" w:rsidRPr="00A61390">
        <w:rPr>
          <w:color w:val="1F3864" w:themeColor="accent1" w:themeShade="80"/>
        </w:rPr>
        <w:t>Wrong again! There are varying levels of government orders and guidelines</w:t>
      </w:r>
      <w:r w:rsidR="008E58C5" w:rsidRPr="00A61390">
        <w:rPr>
          <w:color w:val="1F3864" w:themeColor="accent1" w:themeShade="80"/>
        </w:rPr>
        <w:t>,</w:t>
      </w:r>
      <w:r w:rsidR="00821A38" w:rsidRPr="00A61390">
        <w:rPr>
          <w:color w:val="1F3864" w:themeColor="accent1" w:themeShade="80"/>
        </w:rPr>
        <w:t xml:space="preserve"> and not all qualify.  </w:t>
      </w:r>
      <w:r w:rsidR="008E58C5" w:rsidRPr="00A61390">
        <w:rPr>
          <w:color w:val="1F3864" w:themeColor="accent1" w:themeShade="80"/>
        </w:rPr>
        <w:br/>
      </w:r>
      <w:r w:rsidR="00482E14" w:rsidRPr="00A61390">
        <w:rPr>
          <w:color w:val="1F3864" w:themeColor="accent1" w:themeShade="80"/>
        </w:rPr>
        <w:t>An</w:t>
      </w:r>
      <w:r w:rsidR="00821A38" w:rsidRPr="00A61390">
        <w:rPr>
          <w:color w:val="1F3864" w:themeColor="accent1" w:themeShade="80"/>
        </w:rPr>
        <w:t xml:space="preserve"> order </w:t>
      </w:r>
      <w:r w:rsidR="00482E14" w:rsidRPr="00A61390">
        <w:rPr>
          <w:color w:val="1F3864" w:themeColor="accent1" w:themeShade="80"/>
        </w:rPr>
        <w:t xml:space="preserve">must actually be </w:t>
      </w:r>
      <w:r w:rsidR="00720DE9" w:rsidRPr="00A61390">
        <w:rPr>
          <w:color w:val="1F3864" w:themeColor="accent1" w:themeShade="80"/>
        </w:rPr>
        <w:t>an “</w:t>
      </w:r>
      <w:r w:rsidR="00821A38" w:rsidRPr="00A61390">
        <w:rPr>
          <w:color w:val="1F3864" w:themeColor="accent1" w:themeShade="80"/>
        </w:rPr>
        <w:t xml:space="preserve">order.” There’s a big difference between government orders that say a business </w:t>
      </w:r>
      <w:r w:rsidR="008E58C5" w:rsidRPr="00A61390">
        <w:rPr>
          <w:b/>
          <w:bCs/>
          <w:color w:val="1F3864" w:themeColor="accent1" w:themeShade="80"/>
        </w:rPr>
        <w:t xml:space="preserve">must </w:t>
      </w:r>
      <w:r w:rsidR="008E58C5" w:rsidRPr="00A61390">
        <w:rPr>
          <w:color w:val="1F3864" w:themeColor="accent1" w:themeShade="80"/>
        </w:rPr>
        <w:t xml:space="preserve">or </w:t>
      </w:r>
      <w:r w:rsidR="008E58C5" w:rsidRPr="00A61390">
        <w:rPr>
          <w:b/>
          <w:bCs/>
          <w:color w:val="1F3864" w:themeColor="accent1" w:themeShade="80"/>
        </w:rPr>
        <w:t>shall</w:t>
      </w:r>
      <w:r w:rsidR="008E58C5" w:rsidRPr="00A61390">
        <w:rPr>
          <w:color w:val="1F3864" w:themeColor="accent1" w:themeShade="80"/>
        </w:rPr>
        <w:t xml:space="preserve"> do </w:t>
      </w:r>
      <w:r w:rsidR="00821A38" w:rsidRPr="00A61390">
        <w:rPr>
          <w:color w:val="1F3864" w:themeColor="accent1" w:themeShade="80"/>
        </w:rPr>
        <w:t xml:space="preserve">something versus a guideline that </w:t>
      </w:r>
      <w:r w:rsidR="008E58C5" w:rsidRPr="00A61390">
        <w:rPr>
          <w:b/>
          <w:bCs/>
          <w:color w:val="1F3864" w:themeColor="accent1" w:themeShade="80"/>
        </w:rPr>
        <w:t>recommends</w:t>
      </w:r>
      <w:r w:rsidR="008E58C5" w:rsidRPr="00A61390">
        <w:rPr>
          <w:color w:val="1F3864" w:themeColor="accent1" w:themeShade="80"/>
        </w:rPr>
        <w:t xml:space="preserve"> or says a business </w:t>
      </w:r>
      <w:r w:rsidR="008E58C5" w:rsidRPr="00A61390">
        <w:rPr>
          <w:b/>
          <w:bCs/>
          <w:color w:val="1F3864" w:themeColor="accent1" w:themeShade="80"/>
        </w:rPr>
        <w:t>should</w:t>
      </w:r>
      <w:r w:rsidR="008E58C5" w:rsidRPr="00A61390">
        <w:rPr>
          <w:color w:val="1F3864" w:themeColor="accent1" w:themeShade="80"/>
        </w:rPr>
        <w:t xml:space="preserve"> do something. </w:t>
      </w:r>
      <w:r w:rsidR="00720DE9" w:rsidRPr="00A61390">
        <w:rPr>
          <w:color w:val="1F3864" w:themeColor="accent1" w:themeShade="80"/>
        </w:rPr>
        <w:t>A</w:t>
      </w:r>
      <w:r w:rsidR="00821A38" w:rsidRPr="00A61390">
        <w:rPr>
          <w:color w:val="1F3864" w:themeColor="accent1" w:themeShade="80"/>
        </w:rPr>
        <w:t xml:space="preserve">s the IRS guidance makes clear, it also must be an order that limits commerce, travel or group meetings (for commercial, social, religious or other purposes) due to COVID-19. Finally, it </w:t>
      </w:r>
      <w:r w:rsidR="00482E14" w:rsidRPr="00A61390">
        <w:rPr>
          <w:color w:val="1F3864" w:themeColor="accent1" w:themeShade="80"/>
        </w:rPr>
        <w:t xml:space="preserve">must </w:t>
      </w:r>
      <w:r w:rsidR="00821A38" w:rsidRPr="00A61390">
        <w:rPr>
          <w:color w:val="1F3864" w:themeColor="accent1" w:themeShade="80"/>
        </w:rPr>
        <w:t>be a government order that has jurisdiction over the employer’s operations</w:t>
      </w:r>
      <w:r w:rsidR="008E58C5" w:rsidRPr="00A61390">
        <w:rPr>
          <w:color w:val="1F3864" w:themeColor="accent1" w:themeShade="80"/>
        </w:rPr>
        <w:t>,</w:t>
      </w:r>
      <w:r w:rsidR="00821A38" w:rsidRPr="00A61390">
        <w:rPr>
          <w:color w:val="1F3864" w:themeColor="accent1" w:themeShade="80"/>
        </w:rPr>
        <w:t xml:space="preserve"> and </w:t>
      </w:r>
      <w:r w:rsidR="00A61390" w:rsidRPr="00A61390">
        <w:rPr>
          <w:color w:val="1F3864" w:themeColor="accent1" w:themeShade="80"/>
        </w:rPr>
        <w:t>has</w:t>
      </w:r>
      <w:r w:rsidR="00821A38" w:rsidRPr="00A61390">
        <w:rPr>
          <w:color w:val="1F3864" w:themeColor="accent1" w:themeShade="80"/>
        </w:rPr>
        <w:t xml:space="preserve"> more than nominal impact on operations</w:t>
      </w:r>
      <w:r w:rsidR="008E58C5" w:rsidRPr="00A61390">
        <w:rPr>
          <w:color w:val="1F3864" w:themeColor="accent1" w:themeShade="80"/>
        </w:rPr>
        <w:t>.</w:t>
      </w:r>
      <w:r w:rsidR="00720DE9" w:rsidRPr="00A61390">
        <w:rPr>
          <w:color w:val="1F3864" w:themeColor="accent1" w:themeShade="80"/>
        </w:rPr>
        <w:br/>
      </w:r>
      <w:r w:rsidR="00720DE9" w:rsidRPr="00A61390">
        <w:rPr>
          <w:color w:val="1F3864" w:themeColor="accent1" w:themeShade="80"/>
        </w:rPr>
        <w:br/>
      </w:r>
      <w:r w:rsidR="00720DE9" w:rsidRPr="00A61390">
        <w:rPr>
          <w:b/>
          <w:bCs/>
          <w:color w:val="1F3864" w:themeColor="accent1" w:themeShade="80"/>
        </w:rPr>
        <w:t xml:space="preserve">ERROR 3: A </w:t>
      </w:r>
      <w:r w:rsidR="00821A38" w:rsidRPr="00A61390">
        <w:rPr>
          <w:b/>
          <w:bCs/>
          <w:color w:val="1F3864" w:themeColor="accent1" w:themeShade="80"/>
        </w:rPr>
        <w:t>qualifying mandate that caused an impact to your business means you qualify</w:t>
      </w:r>
      <w:r w:rsidR="00720DE9" w:rsidRPr="00A61390">
        <w:rPr>
          <w:b/>
          <w:bCs/>
          <w:color w:val="1F3864" w:themeColor="accent1" w:themeShade="80"/>
        </w:rPr>
        <w:t>.</w:t>
      </w:r>
      <w:r w:rsidR="00720DE9" w:rsidRPr="00A61390">
        <w:rPr>
          <w:b/>
          <w:bCs/>
          <w:color w:val="1F3864" w:themeColor="accent1" w:themeShade="80"/>
        </w:rPr>
        <w:br/>
      </w:r>
      <w:r w:rsidR="00821A38" w:rsidRPr="00A61390">
        <w:rPr>
          <w:color w:val="1F3864" w:themeColor="accent1" w:themeShade="80"/>
        </w:rPr>
        <w:t xml:space="preserve">Not so fast! Even if a qualifying order affected your business, you still may not qualify. </w:t>
      </w:r>
      <w:r w:rsidR="008E58C5" w:rsidRPr="00A61390">
        <w:rPr>
          <w:color w:val="1F3864" w:themeColor="accent1" w:themeShade="80"/>
        </w:rPr>
        <w:t xml:space="preserve">The </w:t>
      </w:r>
      <w:r w:rsidR="00821A38" w:rsidRPr="00A61390">
        <w:rPr>
          <w:color w:val="1F3864" w:themeColor="accent1" w:themeShade="80"/>
        </w:rPr>
        <w:t>IRS requires that there be a “more than nominal” impact on the business to be eligible.</w:t>
      </w:r>
      <w:r w:rsidR="008E58C5" w:rsidRPr="00A61390">
        <w:rPr>
          <w:color w:val="1F3864" w:themeColor="accent1" w:themeShade="80"/>
        </w:rPr>
        <w:t xml:space="preserve"> </w:t>
      </w:r>
      <w:r w:rsidR="00821A38" w:rsidRPr="00A61390">
        <w:rPr>
          <w:color w:val="1F3864" w:themeColor="accent1" w:themeShade="80"/>
        </w:rPr>
        <w:t xml:space="preserve">If you otherwise qualify, but effects of an order on your business were mostly minor inconveniences, you may not be eligible. A suspension of a more than nominal portion of a business’ operations is a very technical calculation for CPAs or their providers based on IRS Notice 2021-20 and it needs to be well documented! </w:t>
      </w:r>
      <w:r w:rsidR="00482E14" w:rsidRPr="00A61390">
        <w:rPr>
          <w:color w:val="1F3864" w:themeColor="accent1" w:themeShade="80"/>
        </w:rPr>
        <w:br/>
      </w:r>
      <w:r w:rsidR="00482E14" w:rsidRPr="00A61390">
        <w:rPr>
          <w:color w:val="1F3864" w:themeColor="accent1" w:themeShade="80"/>
          <w:sz w:val="2"/>
          <w:szCs w:val="2"/>
        </w:rPr>
        <w:lastRenderedPageBreak/>
        <w:br/>
      </w:r>
      <w:r w:rsidR="00720DE9" w:rsidRPr="00A61390">
        <w:rPr>
          <w:b/>
          <w:bCs/>
          <w:color w:val="1F3864" w:themeColor="accent1" w:themeShade="80"/>
        </w:rPr>
        <w:t xml:space="preserve">ERROR 4: </w:t>
      </w:r>
      <w:r w:rsidR="00821A38" w:rsidRPr="00A61390">
        <w:rPr>
          <w:b/>
          <w:bCs/>
          <w:color w:val="1F3864" w:themeColor="accent1" w:themeShade="80"/>
        </w:rPr>
        <w:t>You get $26,000 for every employee!</w:t>
      </w:r>
    </w:p>
    <w:p w14:paraId="43CFD145" w14:textId="1CFAC56D" w:rsidR="00821A38" w:rsidRPr="00A61390" w:rsidRDefault="002E71DC" w:rsidP="00720DE9">
      <w:pPr>
        <w:rPr>
          <w:color w:val="1F3864" w:themeColor="accent1" w:themeShade="80"/>
        </w:rPr>
      </w:pPr>
      <w:r w:rsidRPr="00A61390">
        <w:rPr>
          <w:color w:val="1F3864" w:themeColor="accent1" w:themeShade="80"/>
        </w:rPr>
        <w:t>No</w:t>
      </w:r>
      <w:r w:rsidR="00482E14" w:rsidRPr="00A61390">
        <w:rPr>
          <w:color w:val="1F3864" w:themeColor="accent1" w:themeShade="80"/>
        </w:rPr>
        <w:t>pe.</w:t>
      </w:r>
      <w:r w:rsidR="00720DE9" w:rsidRPr="00A61390">
        <w:rPr>
          <w:color w:val="1F3864" w:themeColor="accent1" w:themeShade="80"/>
        </w:rPr>
        <w:t xml:space="preserve"> Three major </w:t>
      </w:r>
      <w:r w:rsidR="00821A38" w:rsidRPr="00A61390">
        <w:rPr>
          <w:color w:val="1F3864" w:themeColor="accent1" w:themeShade="80"/>
        </w:rPr>
        <w:t xml:space="preserve">factors impact the refund: wages paid, duration of impact and other incentives already claimed. The credit is calculated as 70% of qualified wages paid to an employee in a given quarter, up to $10,000. So, </w:t>
      </w:r>
      <w:r w:rsidRPr="00A61390">
        <w:rPr>
          <w:color w:val="1F3864" w:themeColor="accent1" w:themeShade="80"/>
        </w:rPr>
        <w:t>if</w:t>
      </w:r>
      <w:r w:rsidR="00821A38" w:rsidRPr="00A61390">
        <w:rPr>
          <w:color w:val="1F3864" w:themeColor="accent1" w:themeShade="80"/>
        </w:rPr>
        <w:t xml:space="preserve"> your client paid an employee $7.25 an hour and they worked an 8</w:t>
      </w:r>
      <w:r w:rsidR="00720DE9" w:rsidRPr="00A61390">
        <w:rPr>
          <w:color w:val="1F3864" w:themeColor="accent1" w:themeShade="80"/>
        </w:rPr>
        <w:t>-</w:t>
      </w:r>
      <w:r w:rsidR="00821A38" w:rsidRPr="00A61390">
        <w:rPr>
          <w:color w:val="1F3864" w:themeColor="accent1" w:themeShade="80"/>
        </w:rPr>
        <w:t>hour day for 60 days in the quarter</w:t>
      </w:r>
      <w:r w:rsidRPr="00A61390">
        <w:rPr>
          <w:color w:val="1F3864" w:themeColor="accent1" w:themeShade="80"/>
        </w:rPr>
        <w:t xml:space="preserve">, </w:t>
      </w:r>
      <w:r w:rsidR="00821A38" w:rsidRPr="00A61390">
        <w:rPr>
          <w:color w:val="1F3864" w:themeColor="accent1" w:themeShade="80"/>
        </w:rPr>
        <w:t xml:space="preserve">their wages would be about $3,480 for the quarter. Multiplying that by 70% gives a maximum credit of $2,436. </w:t>
      </w:r>
      <w:r w:rsidR="00482E14" w:rsidRPr="00A61390">
        <w:rPr>
          <w:color w:val="1F3864" w:themeColor="accent1" w:themeShade="80"/>
        </w:rPr>
        <w:t>And not</w:t>
      </w:r>
      <w:r w:rsidR="00821A38" w:rsidRPr="00A61390">
        <w:rPr>
          <w:color w:val="1F3864" w:themeColor="accent1" w:themeShade="80"/>
        </w:rPr>
        <w:t xml:space="preserve"> only do wages paid matter, but also the length of time the mandate was in place. </w:t>
      </w:r>
      <w:r w:rsidR="00720DE9" w:rsidRPr="00A61390">
        <w:rPr>
          <w:color w:val="1F3864" w:themeColor="accent1" w:themeShade="80"/>
        </w:rPr>
        <w:t>L</w:t>
      </w:r>
      <w:r w:rsidR="00821A38" w:rsidRPr="00A61390">
        <w:rPr>
          <w:color w:val="1F3864" w:themeColor="accent1" w:themeShade="80"/>
        </w:rPr>
        <w:t xml:space="preserve">et’s say those same workers qualified due to a social distancing order but that order was only in effect for half of the quarter. You would then only get half of the maximum credit. </w:t>
      </w:r>
      <w:r w:rsidRPr="00A61390">
        <w:rPr>
          <w:color w:val="1F3864" w:themeColor="accent1" w:themeShade="80"/>
        </w:rPr>
        <w:br/>
      </w:r>
      <w:r w:rsidRPr="00A61390">
        <w:rPr>
          <w:color w:val="1F3864" w:themeColor="accent1" w:themeShade="80"/>
        </w:rPr>
        <w:br/>
      </w:r>
      <w:r w:rsidRPr="00A61390">
        <w:rPr>
          <w:b/>
          <w:bCs/>
          <w:color w:val="1F3864" w:themeColor="accent1" w:themeShade="80"/>
        </w:rPr>
        <w:t>ERROR 5: If you claimed Paycheck Protection Program, y</w:t>
      </w:r>
      <w:r w:rsidR="00821A38" w:rsidRPr="00A61390">
        <w:rPr>
          <w:b/>
          <w:bCs/>
          <w:color w:val="1F3864" w:themeColor="accent1" w:themeShade="80"/>
        </w:rPr>
        <w:t>ou can still qualify for $26,000</w:t>
      </w:r>
      <w:r w:rsidRPr="00A61390">
        <w:rPr>
          <w:b/>
          <w:bCs/>
          <w:color w:val="1F3864" w:themeColor="accent1" w:themeShade="80"/>
        </w:rPr>
        <w:t>.</w:t>
      </w:r>
      <w:r w:rsidR="00821A38" w:rsidRPr="00A61390">
        <w:rPr>
          <w:color w:val="1F3864" w:themeColor="accent1" w:themeShade="80"/>
        </w:rPr>
        <w:t xml:space="preserve"> </w:t>
      </w:r>
    </w:p>
    <w:p w14:paraId="307532ED" w14:textId="70EB4795" w:rsidR="00821A38" w:rsidRPr="00A61390" w:rsidRDefault="002E71DC" w:rsidP="00720DE9">
      <w:pPr>
        <w:rPr>
          <w:color w:val="1F3864" w:themeColor="accent1" w:themeShade="80"/>
        </w:rPr>
      </w:pPr>
      <w:r w:rsidRPr="00A61390">
        <w:rPr>
          <w:color w:val="1F3864" w:themeColor="accent1" w:themeShade="80"/>
        </w:rPr>
        <w:t>No</w:t>
      </w:r>
      <w:r w:rsidR="00482E14" w:rsidRPr="00A61390">
        <w:rPr>
          <w:color w:val="1F3864" w:themeColor="accent1" w:themeShade="80"/>
        </w:rPr>
        <w:t xml:space="preserve"> double dipping! </w:t>
      </w:r>
      <w:r w:rsidRPr="00A61390">
        <w:rPr>
          <w:color w:val="1F3864" w:themeColor="accent1" w:themeShade="80"/>
        </w:rPr>
        <w:t>I</w:t>
      </w:r>
      <w:r w:rsidR="00821A38" w:rsidRPr="00A61390">
        <w:rPr>
          <w:color w:val="1F3864" w:themeColor="accent1" w:themeShade="80"/>
        </w:rPr>
        <w:t>nterplay with other incentives is where most CPAs or their ERC providers miscalculat</w:t>
      </w:r>
      <w:r w:rsidR="00482E14" w:rsidRPr="00A61390">
        <w:rPr>
          <w:color w:val="1F3864" w:themeColor="accent1" w:themeShade="80"/>
        </w:rPr>
        <w:t>e</w:t>
      </w:r>
      <w:r w:rsidR="00821A38" w:rsidRPr="00A61390">
        <w:rPr>
          <w:color w:val="1F3864" w:themeColor="accent1" w:themeShade="80"/>
        </w:rPr>
        <w:t xml:space="preserve"> the ERC. While you can claim PPP and ERC together, they</w:t>
      </w:r>
      <w:r w:rsidR="00482E14" w:rsidRPr="00A61390">
        <w:rPr>
          <w:color w:val="1F3864" w:themeColor="accent1" w:themeShade="80"/>
        </w:rPr>
        <w:t>’</w:t>
      </w:r>
      <w:r w:rsidR="00821A38" w:rsidRPr="00A61390">
        <w:rPr>
          <w:color w:val="1F3864" w:themeColor="accent1" w:themeShade="80"/>
        </w:rPr>
        <w:t>ll have interplay</w:t>
      </w:r>
      <w:r w:rsidR="00482E14" w:rsidRPr="00A61390">
        <w:rPr>
          <w:color w:val="1F3864" w:themeColor="accent1" w:themeShade="80"/>
        </w:rPr>
        <w:t xml:space="preserve"> between themselves </w:t>
      </w:r>
      <w:r w:rsidR="00821A38" w:rsidRPr="00A61390">
        <w:rPr>
          <w:color w:val="1F3864" w:themeColor="accent1" w:themeShade="80"/>
        </w:rPr>
        <w:t xml:space="preserve">and any other incentives your business may have taken, such as the restaurant revitalization grant. Again, in IRS Notice 2021-20: “...the law now allows employers who received PPP loans to claim the Employee Retention Credit for qualified wages that are not treated as payroll costs in obtaining forgiveness of the PPP loan.” The ERC cannot be calculated using payroll costs that are taken into account for purposes of PPP loan forgiveness. </w:t>
      </w:r>
      <w:r w:rsidR="00482E14" w:rsidRPr="00A61390">
        <w:rPr>
          <w:color w:val="1F3864" w:themeColor="accent1" w:themeShade="80"/>
        </w:rPr>
        <w:br/>
      </w:r>
    </w:p>
    <w:p w14:paraId="0D260F73" w14:textId="77777777" w:rsidR="00CD55AD" w:rsidRPr="00A61390" w:rsidRDefault="00CD55AD" w:rsidP="00720DE9">
      <w:pPr>
        <w:rPr>
          <w:color w:val="1F3864" w:themeColor="accent1" w:themeShade="80"/>
        </w:rPr>
      </w:pPr>
    </w:p>
    <w:p w14:paraId="1B2F6E77" w14:textId="626E575D" w:rsidR="00821A38" w:rsidRPr="00A61390" w:rsidRDefault="00482E14" w:rsidP="00720DE9">
      <w:pPr>
        <w:rPr>
          <w:color w:val="1F3864" w:themeColor="accent1" w:themeShade="80"/>
        </w:rPr>
      </w:pPr>
      <w:r w:rsidRPr="00A61390">
        <w:rPr>
          <w:color w:val="1F3864" w:themeColor="accent1" w:themeShade="80"/>
        </w:rPr>
        <w:t>T</w:t>
      </w:r>
      <w:r w:rsidR="00821A38" w:rsidRPr="00A61390">
        <w:rPr>
          <w:color w:val="1F3864" w:themeColor="accent1" w:themeShade="80"/>
        </w:rPr>
        <w:t>he E</w:t>
      </w:r>
      <w:r w:rsidR="00A61390" w:rsidRPr="00A61390">
        <w:rPr>
          <w:color w:val="1F3864" w:themeColor="accent1" w:themeShade="80"/>
        </w:rPr>
        <w:t>RC is a fantastic tax incentive-l</w:t>
      </w:r>
      <w:r w:rsidR="00821A38" w:rsidRPr="00A61390">
        <w:rPr>
          <w:color w:val="1F3864" w:themeColor="accent1" w:themeShade="80"/>
        </w:rPr>
        <w:t>et’s just make sure we</w:t>
      </w:r>
      <w:r w:rsidR="00CD55AD" w:rsidRPr="00A61390">
        <w:rPr>
          <w:color w:val="1F3864" w:themeColor="accent1" w:themeShade="80"/>
        </w:rPr>
        <w:t>’</w:t>
      </w:r>
      <w:r w:rsidR="00821A38" w:rsidRPr="00A61390">
        <w:rPr>
          <w:color w:val="1F3864" w:themeColor="accent1" w:themeShade="80"/>
        </w:rPr>
        <w:t xml:space="preserve">re </w:t>
      </w:r>
      <w:r w:rsidR="00CD55AD" w:rsidRPr="00A61390">
        <w:rPr>
          <w:color w:val="1F3864" w:themeColor="accent1" w:themeShade="80"/>
        </w:rPr>
        <w:t xml:space="preserve">using </w:t>
      </w:r>
      <w:r w:rsidR="00821A38" w:rsidRPr="00A61390">
        <w:rPr>
          <w:color w:val="1F3864" w:themeColor="accent1" w:themeShade="80"/>
        </w:rPr>
        <w:t>it the right way</w:t>
      </w:r>
      <w:r w:rsidR="00CD55AD" w:rsidRPr="00A61390">
        <w:rPr>
          <w:color w:val="1F3864" w:themeColor="accent1" w:themeShade="80"/>
        </w:rPr>
        <w:t>.</w:t>
      </w:r>
      <w:r w:rsidR="00821A38" w:rsidRPr="00A61390">
        <w:rPr>
          <w:color w:val="1F3864" w:themeColor="accent1" w:themeShade="80"/>
        </w:rPr>
        <w:t xml:space="preserve"> </w:t>
      </w:r>
    </w:p>
    <w:p w14:paraId="52F55C90" w14:textId="77777777" w:rsidR="00CD55AD" w:rsidRPr="00A61390" w:rsidRDefault="00CD55AD" w:rsidP="00720DE9">
      <w:pPr>
        <w:rPr>
          <w:color w:val="1F3864" w:themeColor="accent1" w:themeShade="80"/>
        </w:rPr>
      </w:pPr>
    </w:p>
    <w:p w14:paraId="3F0CA501" w14:textId="6ED5D08C" w:rsidR="00821A38" w:rsidRPr="00A61390" w:rsidRDefault="00821A38" w:rsidP="00720DE9">
      <w:pPr>
        <w:rPr>
          <w:i/>
          <w:iCs/>
          <w:color w:val="1F3864" w:themeColor="accent1" w:themeShade="80"/>
        </w:rPr>
      </w:pPr>
      <w:r w:rsidRPr="00A61390">
        <w:rPr>
          <w:i/>
          <w:iCs/>
          <w:color w:val="1F3864" w:themeColor="accent1" w:themeShade="80"/>
        </w:rPr>
        <w:t xml:space="preserve">Rick Meyer, CPA, MBA, MST is a longtime member of the Illinois CPA Society and has served on various tax committees over the past 40+ years. He is a Director for </w:t>
      </w:r>
      <w:proofErr w:type="spellStart"/>
      <w:r w:rsidRPr="00A61390">
        <w:rPr>
          <w:i/>
          <w:iCs/>
          <w:color w:val="1F3864" w:themeColor="accent1" w:themeShade="80"/>
        </w:rPr>
        <w:t>alliantgroup</w:t>
      </w:r>
      <w:proofErr w:type="spellEnd"/>
      <w:r w:rsidRPr="00A61390">
        <w:rPr>
          <w:i/>
          <w:iCs/>
          <w:color w:val="1F3864" w:themeColor="accent1" w:themeShade="80"/>
        </w:rPr>
        <w:t xml:space="preserve">, a national firm that works with businesses and </w:t>
      </w:r>
      <w:r w:rsidR="00A61390" w:rsidRPr="00A61390">
        <w:rPr>
          <w:i/>
          <w:iCs/>
          <w:color w:val="1F3864" w:themeColor="accent1" w:themeShade="80"/>
        </w:rPr>
        <w:t xml:space="preserve">their CPAs to identify </w:t>
      </w:r>
      <w:r w:rsidRPr="00A61390">
        <w:rPr>
          <w:i/>
          <w:iCs/>
          <w:color w:val="1F3864" w:themeColor="accent1" w:themeShade="80"/>
        </w:rPr>
        <w:t>government-sponsored tax credits and in</w:t>
      </w:r>
      <w:r w:rsidR="00A61390" w:rsidRPr="00A61390">
        <w:rPr>
          <w:i/>
          <w:iCs/>
          <w:color w:val="1F3864" w:themeColor="accent1" w:themeShade="80"/>
        </w:rPr>
        <w:t xml:space="preserve">centives. Contact him </w:t>
      </w:r>
      <w:hyperlink r:id="rId5" w:history="1">
        <w:r w:rsidRPr="00A61390">
          <w:rPr>
            <w:rStyle w:val="Hyperlink"/>
            <w:i/>
            <w:iCs/>
            <w:color w:val="1F3864" w:themeColor="accent1" w:themeShade="80"/>
          </w:rPr>
          <w:t>at rick.meyer@alliantgroup.com</w:t>
        </w:r>
      </w:hyperlink>
      <w:r w:rsidRPr="00A61390">
        <w:rPr>
          <w:i/>
          <w:iCs/>
          <w:color w:val="1F3864" w:themeColor="accent1" w:themeShade="80"/>
        </w:rPr>
        <w:t>.</w:t>
      </w:r>
      <w:bookmarkEnd w:id="0"/>
    </w:p>
    <w:sectPr w:rsidR="00821A38" w:rsidRPr="00A61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0C33"/>
    <w:multiLevelType w:val="hybridMultilevel"/>
    <w:tmpl w:val="4998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83DCA"/>
    <w:multiLevelType w:val="hybridMultilevel"/>
    <w:tmpl w:val="59A68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26"/>
    <w:rsid w:val="002E71DC"/>
    <w:rsid w:val="00457C10"/>
    <w:rsid w:val="00482E14"/>
    <w:rsid w:val="00720DE9"/>
    <w:rsid w:val="00761626"/>
    <w:rsid w:val="00821A38"/>
    <w:rsid w:val="008E58C5"/>
    <w:rsid w:val="00A61390"/>
    <w:rsid w:val="00A85824"/>
    <w:rsid w:val="00B0486E"/>
    <w:rsid w:val="00CD55AD"/>
    <w:rsid w:val="00E8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F720"/>
  <w15:chartTrackingRefBased/>
  <w15:docId w15:val="{431994BF-7633-CA4A-9C48-30ECB63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86E"/>
    <w:pPr>
      <w:ind w:left="720"/>
      <w:contextualSpacing/>
    </w:pPr>
  </w:style>
  <w:style w:type="character" w:styleId="Hyperlink">
    <w:name w:val="Hyperlink"/>
    <w:basedOn w:val="DefaultParagraphFont"/>
    <w:uiPriority w:val="99"/>
    <w:unhideWhenUsed/>
    <w:rsid w:val="00CD55AD"/>
    <w:rPr>
      <w:color w:val="0563C1" w:themeColor="hyperlink"/>
      <w:u w:val="single"/>
    </w:rPr>
  </w:style>
  <w:style w:type="character" w:customStyle="1" w:styleId="UnresolvedMention">
    <w:name w:val="Unresolved Mention"/>
    <w:basedOn w:val="DefaultParagraphFont"/>
    <w:uiPriority w:val="99"/>
    <w:semiHidden/>
    <w:unhideWhenUsed/>
    <w:rsid w:val="00CD5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k.meyer@alliant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McCarthy</dc:creator>
  <cp:keywords/>
  <dc:description/>
  <cp:lastModifiedBy>Patricia Brigham</cp:lastModifiedBy>
  <cp:revision>2</cp:revision>
  <dcterms:created xsi:type="dcterms:W3CDTF">2023-02-08T19:43:00Z</dcterms:created>
  <dcterms:modified xsi:type="dcterms:W3CDTF">2023-02-08T19:43:00Z</dcterms:modified>
</cp:coreProperties>
</file>