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32E9" w14:textId="341B93D4" w:rsidR="0010502E" w:rsidRPr="0010502E" w:rsidRDefault="0010502E" w:rsidP="00822A17">
      <w:pPr>
        <w:jc w:val="both"/>
        <w:rPr>
          <w:rFonts w:ascii="Verdana" w:hAnsi="Verdana" w:cs="Arial"/>
          <w:b/>
          <w:color w:val="000000"/>
          <w:sz w:val="24"/>
          <w:szCs w:val="24"/>
        </w:rPr>
      </w:pPr>
      <w:r w:rsidRPr="0010502E">
        <w:rPr>
          <w:rFonts w:ascii="Verdana" w:hAnsi="Verdana" w:cs="Arial"/>
          <w:b/>
          <w:color w:val="000000"/>
          <w:sz w:val="24"/>
          <w:szCs w:val="24"/>
        </w:rPr>
        <w:t>PREPARED BY PIERCE ATWOOD LOBBYING TEAM</w:t>
      </w:r>
    </w:p>
    <w:p w14:paraId="0A6A061B" w14:textId="77777777" w:rsidR="0010502E" w:rsidRPr="0010502E" w:rsidRDefault="0010502E" w:rsidP="00822A17">
      <w:pPr>
        <w:jc w:val="both"/>
        <w:rPr>
          <w:rFonts w:ascii="Verdana" w:hAnsi="Verdana" w:cs="Arial"/>
          <w:color w:val="000000"/>
          <w:sz w:val="24"/>
          <w:szCs w:val="24"/>
        </w:rPr>
      </w:pPr>
    </w:p>
    <w:p w14:paraId="5C4A8323" w14:textId="77777777" w:rsidR="0010502E" w:rsidRPr="0010502E" w:rsidRDefault="0010502E" w:rsidP="00822A17">
      <w:pPr>
        <w:jc w:val="both"/>
        <w:rPr>
          <w:rFonts w:ascii="Verdana" w:hAnsi="Verdana" w:cs="Arial"/>
          <w:color w:val="000000"/>
          <w:sz w:val="24"/>
          <w:szCs w:val="24"/>
        </w:rPr>
      </w:pPr>
    </w:p>
    <w:p w14:paraId="60CF63B7" w14:textId="2078FB39" w:rsidR="00126849" w:rsidRPr="0010502E" w:rsidRDefault="009F50E5" w:rsidP="00822A17">
      <w:pPr>
        <w:jc w:val="both"/>
        <w:rPr>
          <w:rFonts w:ascii="Verdana" w:hAnsi="Verdana" w:cs="Arial"/>
          <w:color w:val="000000"/>
          <w:sz w:val="24"/>
          <w:szCs w:val="24"/>
        </w:rPr>
      </w:pPr>
      <w:r w:rsidRPr="0010502E">
        <w:rPr>
          <w:rFonts w:ascii="Verdana" w:hAnsi="Verdana" w:cs="Arial"/>
          <w:color w:val="000000"/>
          <w:sz w:val="24"/>
          <w:szCs w:val="24"/>
        </w:rPr>
        <w:t xml:space="preserve">The </w:t>
      </w:r>
      <w:r w:rsidR="00DC1CE7" w:rsidRPr="0010502E">
        <w:rPr>
          <w:rFonts w:ascii="Verdana" w:hAnsi="Verdana" w:cs="Arial"/>
          <w:color w:val="000000"/>
          <w:sz w:val="24"/>
          <w:szCs w:val="24"/>
        </w:rPr>
        <w:t xml:space="preserve">Second Regular </w:t>
      </w:r>
      <w:r w:rsidR="009315C0" w:rsidRPr="0010502E">
        <w:rPr>
          <w:rFonts w:ascii="Verdana" w:hAnsi="Verdana" w:cs="Arial"/>
          <w:color w:val="000000"/>
          <w:sz w:val="24"/>
          <w:szCs w:val="24"/>
        </w:rPr>
        <w:t xml:space="preserve">Session of the 131st Maine Legislature adjourned sine die Friday, May 10, 2024.  </w:t>
      </w:r>
      <w:r w:rsidR="00383CA8" w:rsidRPr="0010502E">
        <w:rPr>
          <w:rFonts w:ascii="Verdana" w:hAnsi="Verdana" w:cs="Arial"/>
          <w:color w:val="000000"/>
          <w:sz w:val="24"/>
          <w:szCs w:val="24"/>
        </w:rPr>
        <w:t>The general effective date of nonemergency law</w:t>
      </w:r>
      <w:r w:rsidR="00822A17" w:rsidRPr="0010502E">
        <w:rPr>
          <w:rFonts w:ascii="Verdana" w:hAnsi="Verdana" w:cs="Arial"/>
          <w:color w:val="000000"/>
          <w:sz w:val="24"/>
          <w:szCs w:val="24"/>
        </w:rPr>
        <w:t>s</w:t>
      </w:r>
      <w:r w:rsidR="00383CA8" w:rsidRPr="0010502E">
        <w:rPr>
          <w:rFonts w:ascii="Verdana" w:hAnsi="Verdana" w:cs="Arial"/>
          <w:color w:val="000000"/>
          <w:sz w:val="24"/>
          <w:szCs w:val="24"/>
        </w:rPr>
        <w:t xml:space="preserve"> passed in the Second Regular Session </w:t>
      </w:r>
      <w:r w:rsidR="0074338D" w:rsidRPr="0010502E">
        <w:rPr>
          <w:rFonts w:ascii="Verdana" w:hAnsi="Verdana" w:cs="Arial"/>
          <w:color w:val="000000"/>
          <w:sz w:val="24"/>
          <w:szCs w:val="24"/>
        </w:rPr>
        <w:t>of the 131st Legislature is Friday, August 9, 2024.</w:t>
      </w:r>
      <w:r w:rsidR="000A4025" w:rsidRPr="0010502E">
        <w:rPr>
          <w:rFonts w:ascii="Verdana" w:hAnsi="Verdana" w:cs="Arial"/>
          <w:color w:val="000000"/>
          <w:sz w:val="24"/>
          <w:szCs w:val="24"/>
        </w:rPr>
        <w:t xml:space="preserve">  </w:t>
      </w:r>
      <w:r w:rsidR="007B6E90" w:rsidRPr="0010502E">
        <w:rPr>
          <w:rFonts w:ascii="Verdana" w:hAnsi="Verdana" w:cs="Arial"/>
          <w:color w:val="000000"/>
          <w:sz w:val="24"/>
          <w:szCs w:val="24"/>
        </w:rPr>
        <w:t>A</w:t>
      </w:r>
      <w:r w:rsidR="00126849" w:rsidRPr="0010502E">
        <w:rPr>
          <w:rFonts w:ascii="Verdana" w:hAnsi="Verdana" w:cs="Arial"/>
          <w:color w:val="000000"/>
          <w:sz w:val="24"/>
          <w:szCs w:val="24"/>
        </w:rPr>
        <w:t xml:space="preserve"> brief overview of several tax bills </w:t>
      </w:r>
      <w:r w:rsidR="00C139BD" w:rsidRPr="0010502E">
        <w:rPr>
          <w:rFonts w:ascii="Verdana" w:hAnsi="Verdana" w:cs="Arial"/>
          <w:color w:val="000000"/>
          <w:sz w:val="24"/>
          <w:szCs w:val="24"/>
        </w:rPr>
        <w:t xml:space="preserve">the Maine CPAs were monitoring </w:t>
      </w:r>
      <w:r w:rsidR="00126849" w:rsidRPr="0010502E">
        <w:rPr>
          <w:rFonts w:ascii="Verdana" w:hAnsi="Verdana" w:cs="Arial"/>
          <w:color w:val="000000"/>
          <w:sz w:val="24"/>
          <w:szCs w:val="24"/>
        </w:rPr>
        <w:t>that passed during the Second Regular Session of the 131st Legislature</w:t>
      </w:r>
      <w:r w:rsidR="007B6E90" w:rsidRPr="0010502E">
        <w:rPr>
          <w:rFonts w:ascii="Verdana" w:hAnsi="Verdana" w:cs="Arial"/>
          <w:color w:val="000000"/>
          <w:sz w:val="24"/>
          <w:szCs w:val="24"/>
        </w:rPr>
        <w:t xml:space="preserve"> is as follows</w:t>
      </w:r>
      <w:r w:rsidR="00126849" w:rsidRPr="0010502E">
        <w:rPr>
          <w:rFonts w:ascii="Verdana" w:hAnsi="Verdana" w:cs="Arial"/>
          <w:color w:val="000000"/>
          <w:sz w:val="24"/>
          <w:szCs w:val="24"/>
        </w:rPr>
        <w:t>:</w:t>
      </w:r>
    </w:p>
    <w:p w14:paraId="2310B05B" w14:textId="77777777" w:rsidR="00793A4A" w:rsidRPr="0010502E" w:rsidRDefault="00793A4A" w:rsidP="00822A17">
      <w:pPr>
        <w:jc w:val="both"/>
        <w:rPr>
          <w:rFonts w:ascii="Verdana" w:hAnsi="Verdana" w:cs="Arial"/>
          <w:color w:val="000000"/>
          <w:sz w:val="24"/>
          <w:szCs w:val="24"/>
        </w:rPr>
      </w:pPr>
    </w:p>
    <w:p w14:paraId="083B7387" w14:textId="7F09A974" w:rsidR="00793A4A" w:rsidRPr="0010502E" w:rsidRDefault="00E1396A" w:rsidP="00822A17">
      <w:pPr>
        <w:pStyle w:val="ListParagraph"/>
        <w:numPr>
          <w:ilvl w:val="0"/>
          <w:numId w:val="1"/>
        </w:numPr>
        <w:jc w:val="both"/>
        <w:rPr>
          <w:rFonts w:ascii="Verdana" w:hAnsi="Verdana" w:cs="Arial"/>
          <w:b/>
          <w:bCs/>
          <w:color w:val="000000"/>
          <w:sz w:val="24"/>
          <w:szCs w:val="24"/>
        </w:rPr>
      </w:pPr>
      <w:r w:rsidRPr="0010502E">
        <w:rPr>
          <w:rFonts w:ascii="Verdana" w:hAnsi="Verdana" w:cs="Arial"/>
          <w:b/>
          <w:bCs/>
          <w:color w:val="000000"/>
          <w:sz w:val="24"/>
          <w:szCs w:val="24"/>
        </w:rPr>
        <w:t xml:space="preserve">LD 803: An Act Regarding Department of Economic and Community Development Evaluations of State Investments in Economic Development </w:t>
      </w:r>
    </w:p>
    <w:p w14:paraId="704C3E3A" w14:textId="23855825" w:rsidR="00E1396A" w:rsidRPr="0010502E" w:rsidRDefault="00E1396A" w:rsidP="00822A17">
      <w:pPr>
        <w:pStyle w:val="ListParagraph"/>
        <w:numPr>
          <w:ilvl w:val="1"/>
          <w:numId w:val="1"/>
        </w:numPr>
        <w:jc w:val="both"/>
        <w:rPr>
          <w:rFonts w:ascii="Verdana" w:hAnsi="Verdana" w:cs="Arial"/>
          <w:color w:val="000000"/>
          <w:sz w:val="24"/>
          <w:szCs w:val="24"/>
        </w:rPr>
      </w:pPr>
      <w:r w:rsidRPr="0010502E">
        <w:rPr>
          <w:rFonts w:ascii="Verdana" w:hAnsi="Verdana" w:cs="Arial"/>
          <w:color w:val="000000"/>
          <w:sz w:val="24"/>
          <w:szCs w:val="24"/>
        </w:rPr>
        <w:t>Signed by the Governor on April 9, 202</w:t>
      </w:r>
      <w:r w:rsidR="009D3186" w:rsidRPr="0010502E">
        <w:rPr>
          <w:rFonts w:ascii="Verdana" w:hAnsi="Verdana" w:cs="Arial"/>
          <w:color w:val="000000"/>
          <w:sz w:val="24"/>
          <w:szCs w:val="24"/>
        </w:rPr>
        <w:t>4</w:t>
      </w:r>
    </w:p>
    <w:p w14:paraId="5457BBD5" w14:textId="2E04A071" w:rsidR="009D3186" w:rsidRPr="0010502E" w:rsidRDefault="0010502E" w:rsidP="00822A17">
      <w:pPr>
        <w:pStyle w:val="ListParagraph"/>
        <w:numPr>
          <w:ilvl w:val="1"/>
          <w:numId w:val="1"/>
        </w:numPr>
        <w:jc w:val="both"/>
        <w:rPr>
          <w:rFonts w:ascii="Verdana" w:hAnsi="Verdana" w:cs="Arial"/>
          <w:color w:val="000000"/>
          <w:sz w:val="24"/>
          <w:szCs w:val="24"/>
        </w:rPr>
      </w:pPr>
      <w:hyperlink r:id="rId5" w:history="1">
        <w:r w:rsidR="009F3522" w:rsidRPr="0010502E">
          <w:rPr>
            <w:rStyle w:val="Hyperlink"/>
            <w:rFonts w:ascii="Verdana" w:hAnsi="Verdana" w:cs="Arial"/>
            <w:sz w:val="24"/>
            <w:szCs w:val="24"/>
          </w:rPr>
          <w:t>Public Law 2023, Chapter 599</w:t>
        </w:r>
      </w:hyperlink>
      <w:r w:rsidR="009F3522" w:rsidRPr="0010502E">
        <w:rPr>
          <w:rFonts w:ascii="Verdana" w:hAnsi="Verdana" w:cs="Arial"/>
          <w:color w:val="000000"/>
          <w:sz w:val="24"/>
          <w:szCs w:val="24"/>
        </w:rPr>
        <w:t xml:space="preserve"> </w:t>
      </w:r>
    </w:p>
    <w:p w14:paraId="381206BC" w14:textId="7D162CE4" w:rsidR="009D3186" w:rsidRPr="0010502E" w:rsidRDefault="009D3186" w:rsidP="00822A17">
      <w:pPr>
        <w:pStyle w:val="ListParagraph"/>
        <w:numPr>
          <w:ilvl w:val="1"/>
          <w:numId w:val="1"/>
        </w:numPr>
        <w:jc w:val="both"/>
        <w:rPr>
          <w:rFonts w:ascii="Verdana" w:hAnsi="Verdana" w:cs="Arial"/>
          <w:color w:val="000000"/>
          <w:sz w:val="24"/>
          <w:szCs w:val="24"/>
        </w:rPr>
      </w:pPr>
      <w:r w:rsidRPr="0010502E">
        <w:rPr>
          <w:rFonts w:ascii="Verdana" w:hAnsi="Verdana" w:cs="Arial"/>
          <w:color w:val="000000"/>
          <w:sz w:val="24"/>
          <w:szCs w:val="24"/>
        </w:rPr>
        <w:t xml:space="preserve">Summary: </w:t>
      </w:r>
      <w:r w:rsidRPr="0010502E">
        <w:rPr>
          <w:rFonts w:ascii="Verdana" w:hAnsi="Verdana"/>
          <w:sz w:val="24"/>
          <w:szCs w:val="24"/>
        </w:rPr>
        <w:t xml:space="preserve">This bill adds the </w:t>
      </w:r>
      <w:r w:rsidR="007706F3" w:rsidRPr="0010502E">
        <w:rPr>
          <w:rFonts w:ascii="Verdana" w:hAnsi="Verdana"/>
          <w:sz w:val="24"/>
          <w:szCs w:val="24"/>
        </w:rPr>
        <w:t>Taxation Committee</w:t>
      </w:r>
      <w:r w:rsidRPr="0010502E">
        <w:rPr>
          <w:rFonts w:ascii="Verdana" w:hAnsi="Verdana"/>
          <w:sz w:val="24"/>
          <w:szCs w:val="24"/>
        </w:rPr>
        <w:t xml:space="preserve"> as a recipient of Department of Economic and Community Development evaluations and progress reports regarding state investments in economic development.</w:t>
      </w:r>
    </w:p>
    <w:p w14:paraId="002BC592" w14:textId="77777777" w:rsidR="00325C59" w:rsidRPr="0010502E" w:rsidRDefault="00325C59" w:rsidP="00325C59">
      <w:pPr>
        <w:pStyle w:val="ListParagraph"/>
        <w:ind w:left="1440"/>
        <w:jc w:val="both"/>
        <w:rPr>
          <w:rFonts w:ascii="Verdana" w:hAnsi="Verdana" w:cs="Arial"/>
          <w:color w:val="000000"/>
          <w:sz w:val="24"/>
          <w:szCs w:val="24"/>
        </w:rPr>
      </w:pPr>
    </w:p>
    <w:p w14:paraId="54EBDCE9" w14:textId="6615738C" w:rsidR="001B7FE4" w:rsidRPr="0010502E" w:rsidRDefault="001B7FE4" w:rsidP="00822A17">
      <w:pPr>
        <w:pStyle w:val="ListParagraph"/>
        <w:numPr>
          <w:ilvl w:val="0"/>
          <w:numId w:val="1"/>
        </w:numPr>
        <w:jc w:val="both"/>
        <w:rPr>
          <w:rFonts w:ascii="Verdana" w:hAnsi="Verdana" w:cs="Arial"/>
          <w:b/>
          <w:bCs/>
          <w:color w:val="000000"/>
          <w:sz w:val="24"/>
          <w:szCs w:val="24"/>
        </w:rPr>
      </w:pPr>
      <w:r w:rsidRPr="0010502E">
        <w:rPr>
          <w:rFonts w:ascii="Verdana" w:hAnsi="Verdana" w:cs="Arial"/>
          <w:b/>
          <w:bCs/>
          <w:color w:val="000000"/>
          <w:sz w:val="24"/>
          <w:szCs w:val="24"/>
        </w:rPr>
        <w:t>LD 1337: An Act to Require a Biennial Report on the Corporate Income Tax of the Joint Standing Committee Having Jurisdiction over Taxation Matters</w:t>
      </w:r>
    </w:p>
    <w:p w14:paraId="46E70558" w14:textId="1CE5A53D" w:rsidR="001B7FE4" w:rsidRPr="0010502E" w:rsidRDefault="001B7FE4" w:rsidP="00822A17">
      <w:pPr>
        <w:pStyle w:val="ListParagraph"/>
        <w:numPr>
          <w:ilvl w:val="1"/>
          <w:numId w:val="1"/>
        </w:numPr>
        <w:jc w:val="both"/>
        <w:rPr>
          <w:rFonts w:ascii="Verdana" w:hAnsi="Verdana" w:cs="Arial"/>
          <w:color w:val="000000"/>
          <w:sz w:val="24"/>
          <w:szCs w:val="24"/>
        </w:rPr>
      </w:pPr>
      <w:r w:rsidRPr="0010502E">
        <w:rPr>
          <w:rFonts w:ascii="Verdana" w:hAnsi="Verdana" w:cs="Arial"/>
          <w:color w:val="000000"/>
          <w:sz w:val="24"/>
          <w:szCs w:val="24"/>
        </w:rPr>
        <w:t>Became Law without the Governor’s Signature on April 16, 2024</w:t>
      </w:r>
    </w:p>
    <w:p w14:paraId="1D1BF424" w14:textId="13D5A760" w:rsidR="00941372" w:rsidRPr="0010502E" w:rsidRDefault="0010502E" w:rsidP="00822A17">
      <w:pPr>
        <w:pStyle w:val="ListParagraph"/>
        <w:numPr>
          <w:ilvl w:val="1"/>
          <w:numId w:val="1"/>
        </w:numPr>
        <w:jc w:val="both"/>
        <w:rPr>
          <w:rFonts w:ascii="Verdana" w:hAnsi="Verdana" w:cs="Arial"/>
          <w:color w:val="000000"/>
          <w:sz w:val="24"/>
          <w:szCs w:val="24"/>
        </w:rPr>
      </w:pPr>
      <w:hyperlink r:id="rId6" w:history="1">
        <w:r w:rsidR="00941372" w:rsidRPr="0010502E">
          <w:rPr>
            <w:rStyle w:val="Hyperlink"/>
            <w:rFonts w:ascii="Verdana" w:hAnsi="Verdana" w:cs="Arial"/>
            <w:sz w:val="24"/>
            <w:szCs w:val="24"/>
          </w:rPr>
          <w:t>Public Law 2023, Chapter 627</w:t>
        </w:r>
      </w:hyperlink>
    </w:p>
    <w:p w14:paraId="12D5AAE8" w14:textId="0AE8B95E" w:rsidR="001B7FE4" w:rsidRPr="0010502E" w:rsidRDefault="001B7FE4" w:rsidP="00822A17">
      <w:pPr>
        <w:pStyle w:val="ListParagraph"/>
        <w:numPr>
          <w:ilvl w:val="1"/>
          <w:numId w:val="1"/>
        </w:numPr>
        <w:jc w:val="both"/>
        <w:rPr>
          <w:rFonts w:ascii="Verdana" w:hAnsi="Verdana" w:cs="Arial"/>
          <w:color w:val="000000"/>
          <w:sz w:val="24"/>
          <w:szCs w:val="24"/>
        </w:rPr>
      </w:pPr>
      <w:r w:rsidRPr="0010502E">
        <w:rPr>
          <w:rFonts w:ascii="Verdana" w:hAnsi="Verdana" w:cs="Arial"/>
          <w:color w:val="000000"/>
          <w:sz w:val="24"/>
          <w:szCs w:val="24"/>
        </w:rPr>
        <w:t xml:space="preserve">Summary: </w:t>
      </w:r>
      <w:r w:rsidRPr="0010502E">
        <w:rPr>
          <w:rFonts w:ascii="Verdana" w:hAnsi="Verdana"/>
          <w:sz w:val="24"/>
          <w:szCs w:val="24"/>
        </w:rPr>
        <w:t>This bill requires a biennial report from the Department of Administrative and Financial Services, Bureau of Revenue Services to the Taxation Committee regarding certain aggregate corporate income tax data.</w:t>
      </w:r>
    </w:p>
    <w:p w14:paraId="040746B2" w14:textId="77777777" w:rsidR="00325C59" w:rsidRPr="0010502E" w:rsidRDefault="00325C59" w:rsidP="00325C59">
      <w:pPr>
        <w:pStyle w:val="ListParagraph"/>
        <w:ind w:left="1440"/>
        <w:jc w:val="both"/>
        <w:rPr>
          <w:rFonts w:ascii="Verdana" w:hAnsi="Verdana" w:cs="Arial"/>
          <w:color w:val="000000"/>
          <w:sz w:val="24"/>
          <w:szCs w:val="24"/>
        </w:rPr>
      </w:pPr>
    </w:p>
    <w:p w14:paraId="003EE638" w14:textId="7889808E" w:rsidR="001B7FE4" w:rsidRPr="0010502E" w:rsidRDefault="001B7FE4" w:rsidP="00822A17">
      <w:pPr>
        <w:pStyle w:val="ListParagraph"/>
        <w:numPr>
          <w:ilvl w:val="0"/>
          <w:numId w:val="1"/>
        </w:numPr>
        <w:jc w:val="both"/>
        <w:rPr>
          <w:rFonts w:ascii="Verdana" w:hAnsi="Verdana" w:cs="Arial"/>
          <w:b/>
          <w:bCs/>
          <w:color w:val="000000"/>
          <w:sz w:val="24"/>
          <w:szCs w:val="24"/>
        </w:rPr>
      </w:pPr>
      <w:r w:rsidRPr="0010502E">
        <w:rPr>
          <w:rFonts w:ascii="Verdana" w:hAnsi="Verdana"/>
          <w:b/>
          <w:bCs/>
          <w:sz w:val="24"/>
          <w:szCs w:val="24"/>
        </w:rPr>
        <w:t>LD 1891: Resolve, to Require the Office of Tax Policy to Study the Adoption of a Pass-through Entity Income Tax</w:t>
      </w:r>
    </w:p>
    <w:p w14:paraId="30D88D96" w14:textId="33498F23" w:rsidR="001B7FE4" w:rsidRPr="0010502E" w:rsidRDefault="001B7FE4" w:rsidP="00822A17">
      <w:pPr>
        <w:pStyle w:val="ListParagraph"/>
        <w:numPr>
          <w:ilvl w:val="1"/>
          <w:numId w:val="1"/>
        </w:numPr>
        <w:jc w:val="both"/>
        <w:rPr>
          <w:rFonts w:ascii="Verdana" w:hAnsi="Verdana" w:cs="Arial"/>
          <w:color w:val="000000"/>
          <w:sz w:val="24"/>
          <w:szCs w:val="24"/>
        </w:rPr>
      </w:pPr>
      <w:r w:rsidRPr="0010502E">
        <w:rPr>
          <w:rFonts w:ascii="Verdana" w:hAnsi="Verdana"/>
          <w:sz w:val="24"/>
          <w:szCs w:val="24"/>
        </w:rPr>
        <w:t>Signed by the Governor on April 16, 2024</w:t>
      </w:r>
    </w:p>
    <w:p w14:paraId="6AE9D888" w14:textId="68074595" w:rsidR="008F3C79" w:rsidRPr="0010502E" w:rsidRDefault="0010502E" w:rsidP="00822A17">
      <w:pPr>
        <w:pStyle w:val="ListParagraph"/>
        <w:numPr>
          <w:ilvl w:val="1"/>
          <w:numId w:val="1"/>
        </w:numPr>
        <w:jc w:val="both"/>
        <w:rPr>
          <w:rFonts w:ascii="Verdana" w:hAnsi="Verdana" w:cs="Arial"/>
          <w:color w:val="000000"/>
          <w:sz w:val="24"/>
          <w:szCs w:val="24"/>
        </w:rPr>
      </w:pPr>
      <w:hyperlink r:id="rId7" w:history="1">
        <w:r w:rsidR="008F3C79" w:rsidRPr="0010502E">
          <w:rPr>
            <w:rStyle w:val="Hyperlink"/>
            <w:rFonts w:ascii="Verdana" w:hAnsi="Verdana"/>
            <w:sz w:val="24"/>
            <w:szCs w:val="24"/>
          </w:rPr>
          <w:t>Resolve 2023, Chapter 170</w:t>
        </w:r>
      </w:hyperlink>
    </w:p>
    <w:p w14:paraId="7C8C70DA" w14:textId="4CB2300A" w:rsidR="001B7FE4" w:rsidRPr="0010502E" w:rsidRDefault="001B7FE4" w:rsidP="00822A17">
      <w:pPr>
        <w:pStyle w:val="ListParagraph"/>
        <w:numPr>
          <w:ilvl w:val="1"/>
          <w:numId w:val="1"/>
        </w:numPr>
        <w:jc w:val="both"/>
        <w:rPr>
          <w:rFonts w:ascii="Verdana" w:hAnsi="Verdana" w:cs="Arial"/>
          <w:color w:val="000000"/>
          <w:sz w:val="24"/>
          <w:szCs w:val="24"/>
        </w:rPr>
      </w:pPr>
      <w:r w:rsidRPr="0010502E">
        <w:rPr>
          <w:rFonts w:ascii="Verdana" w:hAnsi="Verdana"/>
          <w:sz w:val="24"/>
          <w:szCs w:val="24"/>
        </w:rPr>
        <w:t xml:space="preserve">Summary: This bill requires the Department of Administrative and Financial Services, Bureau of Revenue Services, Office of Tax Policy to examine and evaluate the State’s current system of taxation of business income at the partner or shareholder level and the possible adoption of a mandatory or elective pass-through entity income tax to tax such pass-through income, including the possibility of moving the taxation of that income, or some portion </w:t>
      </w:r>
      <w:proofErr w:type="spellStart"/>
      <w:r w:rsidRPr="0010502E">
        <w:rPr>
          <w:rFonts w:ascii="Verdana" w:hAnsi="Verdana"/>
          <w:sz w:val="24"/>
          <w:szCs w:val="24"/>
        </w:rPr>
        <w:t>o</w:t>
      </w:r>
      <w:proofErr w:type="spellEnd"/>
      <w:r w:rsidRPr="0010502E">
        <w:rPr>
          <w:rFonts w:ascii="Verdana" w:hAnsi="Verdana"/>
          <w:sz w:val="24"/>
          <w:szCs w:val="24"/>
        </w:rPr>
        <w:t xml:space="preserve"> that income, from the partner or shareholder level to the business entity that generated the income. The Office of Tax Policy is required to report to the </w:t>
      </w:r>
      <w:r w:rsidR="00D148BD" w:rsidRPr="0010502E">
        <w:rPr>
          <w:rFonts w:ascii="Verdana" w:hAnsi="Verdana"/>
          <w:sz w:val="24"/>
          <w:szCs w:val="24"/>
        </w:rPr>
        <w:t>Taxation Committee</w:t>
      </w:r>
      <w:r w:rsidRPr="0010502E">
        <w:rPr>
          <w:rFonts w:ascii="Verdana" w:hAnsi="Verdana"/>
          <w:sz w:val="24"/>
          <w:szCs w:val="24"/>
        </w:rPr>
        <w:t xml:space="preserve"> by January 15, 2025, and the committee is authorized to report out legislation related to the report to the 132nd Legislature in 2025.</w:t>
      </w:r>
    </w:p>
    <w:p w14:paraId="1124025A" w14:textId="77777777" w:rsidR="00325C59" w:rsidRPr="0010502E" w:rsidRDefault="00325C59" w:rsidP="00325C59">
      <w:pPr>
        <w:pStyle w:val="ListParagraph"/>
        <w:ind w:left="1440"/>
        <w:jc w:val="both"/>
        <w:rPr>
          <w:rFonts w:ascii="Verdana" w:hAnsi="Verdana" w:cs="Arial"/>
          <w:color w:val="000000"/>
          <w:sz w:val="24"/>
          <w:szCs w:val="24"/>
        </w:rPr>
      </w:pPr>
    </w:p>
    <w:p w14:paraId="19616586" w14:textId="7145884D" w:rsidR="00D148BD" w:rsidRPr="0010502E" w:rsidRDefault="00D148BD" w:rsidP="00822A17">
      <w:pPr>
        <w:pStyle w:val="ListParagraph"/>
        <w:numPr>
          <w:ilvl w:val="0"/>
          <w:numId w:val="1"/>
        </w:numPr>
        <w:jc w:val="both"/>
        <w:rPr>
          <w:rFonts w:ascii="Verdana" w:hAnsi="Verdana" w:cs="Arial"/>
          <w:b/>
          <w:bCs/>
          <w:color w:val="000000"/>
          <w:sz w:val="24"/>
          <w:szCs w:val="24"/>
        </w:rPr>
      </w:pPr>
      <w:r w:rsidRPr="0010502E">
        <w:rPr>
          <w:rFonts w:ascii="Verdana" w:hAnsi="Verdana"/>
          <w:b/>
          <w:bCs/>
          <w:sz w:val="24"/>
          <w:szCs w:val="24"/>
        </w:rPr>
        <w:t>LD 1948: An Act to Amend the State’s Data Governance Program</w:t>
      </w:r>
    </w:p>
    <w:p w14:paraId="65981C32" w14:textId="7E3E7384" w:rsidR="00E9408B" w:rsidRPr="0010502E" w:rsidRDefault="00E9408B" w:rsidP="00822A17">
      <w:pPr>
        <w:pStyle w:val="ListParagraph"/>
        <w:numPr>
          <w:ilvl w:val="1"/>
          <w:numId w:val="1"/>
        </w:numPr>
        <w:jc w:val="both"/>
        <w:rPr>
          <w:rFonts w:ascii="Verdana" w:hAnsi="Verdana" w:cs="Arial"/>
          <w:color w:val="000000"/>
          <w:sz w:val="24"/>
          <w:szCs w:val="24"/>
        </w:rPr>
      </w:pPr>
      <w:r w:rsidRPr="0010502E">
        <w:rPr>
          <w:rFonts w:ascii="Verdana" w:hAnsi="Verdana"/>
          <w:sz w:val="24"/>
          <w:szCs w:val="24"/>
        </w:rPr>
        <w:t>Signed by the Governor on March 28, 2024</w:t>
      </w:r>
    </w:p>
    <w:p w14:paraId="57A6B20F" w14:textId="50A1A257" w:rsidR="00F21EB5" w:rsidRPr="0010502E" w:rsidRDefault="0010502E" w:rsidP="00822A17">
      <w:pPr>
        <w:pStyle w:val="ListParagraph"/>
        <w:numPr>
          <w:ilvl w:val="1"/>
          <w:numId w:val="1"/>
        </w:numPr>
        <w:jc w:val="both"/>
        <w:rPr>
          <w:rFonts w:ascii="Verdana" w:hAnsi="Verdana" w:cs="Arial"/>
          <w:color w:val="000000"/>
          <w:sz w:val="24"/>
          <w:szCs w:val="24"/>
        </w:rPr>
      </w:pPr>
      <w:hyperlink r:id="rId8" w:history="1">
        <w:r w:rsidR="00F21EB5" w:rsidRPr="0010502E">
          <w:rPr>
            <w:rStyle w:val="Hyperlink"/>
            <w:rFonts w:ascii="Verdana" w:hAnsi="Verdana"/>
            <w:sz w:val="24"/>
            <w:szCs w:val="24"/>
          </w:rPr>
          <w:t>Public Law 2023, Chapter 581</w:t>
        </w:r>
      </w:hyperlink>
    </w:p>
    <w:p w14:paraId="341E5C23" w14:textId="37F89CDE" w:rsidR="00E9408B" w:rsidRPr="0010502E" w:rsidRDefault="00E9408B" w:rsidP="00822A17">
      <w:pPr>
        <w:pStyle w:val="ListParagraph"/>
        <w:numPr>
          <w:ilvl w:val="1"/>
          <w:numId w:val="1"/>
        </w:numPr>
        <w:jc w:val="both"/>
        <w:rPr>
          <w:rFonts w:ascii="Verdana" w:hAnsi="Verdana" w:cs="Arial"/>
          <w:color w:val="000000"/>
          <w:sz w:val="24"/>
          <w:szCs w:val="24"/>
        </w:rPr>
      </w:pPr>
      <w:r w:rsidRPr="0010502E">
        <w:rPr>
          <w:rFonts w:ascii="Verdana" w:hAnsi="Verdana"/>
          <w:sz w:val="24"/>
          <w:szCs w:val="24"/>
        </w:rPr>
        <w:t>Summary: This bill makes several changes to the laws governing the data governance program for State Government.</w:t>
      </w:r>
    </w:p>
    <w:p w14:paraId="4F77098D" w14:textId="77777777" w:rsidR="007E00CD" w:rsidRPr="0010502E" w:rsidRDefault="007E00CD" w:rsidP="00822A17">
      <w:pPr>
        <w:jc w:val="both"/>
        <w:rPr>
          <w:rFonts w:ascii="Verdana" w:hAnsi="Verdana" w:cs="Arial"/>
          <w:color w:val="000000"/>
          <w:sz w:val="24"/>
          <w:szCs w:val="24"/>
        </w:rPr>
      </w:pPr>
    </w:p>
    <w:p w14:paraId="20D3FC06" w14:textId="51C4C20D" w:rsidR="007E00CD" w:rsidRPr="0010502E" w:rsidRDefault="007909AF" w:rsidP="00822A17">
      <w:pPr>
        <w:jc w:val="both"/>
        <w:rPr>
          <w:rFonts w:ascii="Verdana" w:hAnsi="Verdana" w:cs="Arial"/>
          <w:color w:val="000000"/>
          <w:sz w:val="24"/>
          <w:szCs w:val="24"/>
        </w:rPr>
      </w:pPr>
      <w:r w:rsidRPr="0010502E">
        <w:rPr>
          <w:rFonts w:ascii="Verdana" w:hAnsi="Verdana" w:cs="Arial"/>
          <w:color w:val="000000"/>
          <w:sz w:val="24"/>
          <w:szCs w:val="24"/>
        </w:rPr>
        <w:t>Additionally, o</w:t>
      </w:r>
      <w:r w:rsidR="007E00CD" w:rsidRPr="0010502E">
        <w:rPr>
          <w:rFonts w:ascii="Verdana" w:hAnsi="Verdana" w:cs="Arial"/>
          <w:color w:val="000000"/>
          <w:sz w:val="24"/>
          <w:szCs w:val="24"/>
        </w:rPr>
        <w:t xml:space="preserve">n </w:t>
      </w:r>
      <w:r w:rsidR="002715CB" w:rsidRPr="0010502E">
        <w:rPr>
          <w:rFonts w:ascii="Verdana" w:hAnsi="Verdana" w:cs="Arial"/>
          <w:color w:val="000000"/>
          <w:sz w:val="24"/>
          <w:szCs w:val="24"/>
        </w:rPr>
        <w:t xml:space="preserve">April 18, 2024, the Legislature passed a joint order </w:t>
      </w:r>
      <w:r w:rsidR="00091C06" w:rsidRPr="0010502E">
        <w:rPr>
          <w:rFonts w:ascii="Verdana" w:hAnsi="Verdana" w:cs="Arial"/>
          <w:color w:val="000000"/>
          <w:sz w:val="24"/>
          <w:szCs w:val="24"/>
        </w:rPr>
        <w:t xml:space="preserve">that </w:t>
      </w:r>
      <w:r w:rsidR="00B675F1" w:rsidRPr="0010502E">
        <w:rPr>
          <w:rFonts w:ascii="Verdana" w:hAnsi="Verdana" w:cs="Arial"/>
          <w:color w:val="000000"/>
          <w:sz w:val="24"/>
          <w:szCs w:val="24"/>
        </w:rPr>
        <w:t>carried over, in the same posture, all legislation not finally disposed of upon adjournment sine die of the Second Regular Session of the 131st Legislature to any special session of the 131st Legislature.  The following bills</w:t>
      </w:r>
      <w:r w:rsidR="009667A1" w:rsidRPr="0010502E">
        <w:rPr>
          <w:rFonts w:ascii="Verdana" w:hAnsi="Verdana" w:cs="Arial"/>
          <w:color w:val="000000"/>
          <w:sz w:val="24"/>
          <w:szCs w:val="24"/>
        </w:rPr>
        <w:t>, monitored by the Maine CPAs this past session,</w:t>
      </w:r>
      <w:r w:rsidR="00C67A60" w:rsidRPr="0010502E">
        <w:rPr>
          <w:rFonts w:ascii="Verdana" w:hAnsi="Verdana" w:cs="Arial"/>
          <w:color w:val="000000"/>
          <w:sz w:val="24"/>
          <w:szCs w:val="24"/>
        </w:rPr>
        <w:t xml:space="preserve"> have been carried over</w:t>
      </w:r>
      <w:r w:rsidR="00B17F1C" w:rsidRPr="0010502E">
        <w:rPr>
          <w:rFonts w:ascii="Verdana" w:hAnsi="Verdana" w:cs="Arial"/>
          <w:color w:val="000000"/>
          <w:sz w:val="24"/>
          <w:szCs w:val="24"/>
        </w:rPr>
        <w:t xml:space="preserve"> to a potential</w:t>
      </w:r>
      <w:r w:rsidR="00701FCD" w:rsidRPr="0010502E">
        <w:rPr>
          <w:rFonts w:ascii="Verdana" w:hAnsi="Verdana" w:cs="Arial"/>
          <w:color w:val="000000"/>
          <w:sz w:val="24"/>
          <w:szCs w:val="24"/>
        </w:rPr>
        <w:t xml:space="preserve"> special </w:t>
      </w:r>
      <w:r w:rsidR="00B17F1C" w:rsidRPr="0010502E">
        <w:rPr>
          <w:rFonts w:ascii="Verdana" w:hAnsi="Verdana" w:cs="Arial"/>
          <w:color w:val="000000"/>
          <w:sz w:val="24"/>
          <w:szCs w:val="24"/>
        </w:rPr>
        <w:t>session</w:t>
      </w:r>
      <w:r w:rsidR="00701FCD" w:rsidRPr="0010502E">
        <w:rPr>
          <w:rFonts w:ascii="Verdana" w:hAnsi="Verdana" w:cs="Arial"/>
          <w:color w:val="000000"/>
          <w:sz w:val="24"/>
          <w:szCs w:val="24"/>
        </w:rPr>
        <w:t xml:space="preserve"> of the 131st Legislature</w:t>
      </w:r>
      <w:r w:rsidR="00C67A60" w:rsidRPr="0010502E">
        <w:rPr>
          <w:rFonts w:ascii="Verdana" w:hAnsi="Verdana" w:cs="Arial"/>
          <w:color w:val="000000"/>
          <w:sz w:val="24"/>
          <w:szCs w:val="24"/>
        </w:rPr>
        <w:t>:</w:t>
      </w:r>
    </w:p>
    <w:p w14:paraId="54CBE7A4" w14:textId="77777777" w:rsidR="00701FCD" w:rsidRPr="0010502E" w:rsidRDefault="00701FCD" w:rsidP="00822A17">
      <w:pPr>
        <w:jc w:val="both"/>
        <w:rPr>
          <w:rFonts w:ascii="Verdana" w:hAnsi="Verdana" w:cs="Arial"/>
          <w:color w:val="000000"/>
          <w:sz w:val="24"/>
          <w:szCs w:val="24"/>
        </w:rPr>
      </w:pPr>
    </w:p>
    <w:p w14:paraId="14E99418" w14:textId="74578432" w:rsidR="00C67A60" w:rsidRPr="0010502E" w:rsidRDefault="0010502E" w:rsidP="00822A17">
      <w:pPr>
        <w:pStyle w:val="ListParagraph"/>
        <w:numPr>
          <w:ilvl w:val="0"/>
          <w:numId w:val="3"/>
        </w:numPr>
        <w:jc w:val="both"/>
        <w:rPr>
          <w:rFonts w:ascii="Verdana" w:hAnsi="Verdana" w:cs="Arial"/>
          <w:b/>
          <w:bCs/>
          <w:color w:val="000000"/>
          <w:sz w:val="24"/>
          <w:szCs w:val="24"/>
        </w:rPr>
      </w:pPr>
      <w:hyperlink r:id="rId9" w:history="1">
        <w:r w:rsidR="003B18F6" w:rsidRPr="0010502E">
          <w:rPr>
            <w:rStyle w:val="Hyperlink"/>
            <w:rFonts w:ascii="Verdana" w:hAnsi="Verdana" w:cs="Arial"/>
            <w:b/>
            <w:bCs/>
            <w:sz w:val="24"/>
            <w:szCs w:val="24"/>
          </w:rPr>
          <w:t>LD 457</w:t>
        </w:r>
      </w:hyperlink>
      <w:r w:rsidR="00422380" w:rsidRPr="0010502E">
        <w:rPr>
          <w:rFonts w:ascii="Verdana" w:hAnsi="Verdana" w:cs="Arial"/>
          <w:b/>
          <w:bCs/>
          <w:color w:val="000000"/>
          <w:sz w:val="24"/>
          <w:szCs w:val="24"/>
        </w:rPr>
        <w:t>: An Act to Amend M</w:t>
      </w:r>
      <w:r w:rsidR="003B18F6" w:rsidRPr="0010502E">
        <w:rPr>
          <w:rFonts w:ascii="Verdana" w:hAnsi="Verdana" w:cs="Arial"/>
          <w:b/>
          <w:bCs/>
          <w:color w:val="000000"/>
          <w:sz w:val="24"/>
          <w:szCs w:val="24"/>
        </w:rPr>
        <w:t>aine’s Tax Laws</w:t>
      </w:r>
    </w:p>
    <w:p w14:paraId="7E587D97" w14:textId="77777777" w:rsidR="00701FCD" w:rsidRPr="0010502E" w:rsidRDefault="00701FCD" w:rsidP="00701FCD">
      <w:pPr>
        <w:pStyle w:val="ListParagraph"/>
        <w:jc w:val="both"/>
        <w:rPr>
          <w:rFonts w:ascii="Verdana" w:hAnsi="Verdana" w:cs="Arial"/>
          <w:color w:val="000000"/>
          <w:sz w:val="24"/>
          <w:szCs w:val="24"/>
        </w:rPr>
      </w:pPr>
    </w:p>
    <w:p w14:paraId="64907D48" w14:textId="6A4158D1" w:rsidR="00422380" w:rsidRPr="0010502E" w:rsidRDefault="0010502E" w:rsidP="00822A17">
      <w:pPr>
        <w:pStyle w:val="ListParagraph"/>
        <w:numPr>
          <w:ilvl w:val="0"/>
          <w:numId w:val="3"/>
        </w:numPr>
        <w:jc w:val="both"/>
        <w:rPr>
          <w:rFonts w:ascii="Verdana" w:hAnsi="Verdana" w:cs="Arial"/>
          <w:b/>
          <w:bCs/>
          <w:color w:val="000000"/>
          <w:sz w:val="24"/>
          <w:szCs w:val="24"/>
        </w:rPr>
      </w:pPr>
      <w:hyperlink r:id="rId10" w:history="1">
        <w:r w:rsidR="000572AC" w:rsidRPr="0010502E">
          <w:rPr>
            <w:rStyle w:val="Hyperlink"/>
            <w:rFonts w:ascii="Verdana" w:hAnsi="Verdana" w:cs="Arial"/>
            <w:b/>
            <w:bCs/>
            <w:sz w:val="24"/>
            <w:szCs w:val="24"/>
          </w:rPr>
          <w:t>LD 1725</w:t>
        </w:r>
      </w:hyperlink>
      <w:r w:rsidR="00422380" w:rsidRPr="0010502E">
        <w:rPr>
          <w:rFonts w:ascii="Verdana" w:hAnsi="Verdana" w:cs="Arial"/>
          <w:b/>
          <w:bCs/>
          <w:color w:val="000000"/>
          <w:sz w:val="24"/>
          <w:szCs w:val="24"/>
        </w:rPr>
        <w:t xml:space="preserve">: </w:t>
      </w:r>
      <w:r w:rsidR="00854EDA" w:rsidRPr="0010502E">
        <w:rPr>
          <w:rFonts w:ascii="Verdana" w:hAnsi="Verdana" w:cs="Arial"/>
          <w:b/>
          <w:bCs/>
          <w:color w:val="000000"/>
          <w:sz w:val="24"/>
          <w:szCs w:val="24"/>
        </w:rPr>
        <w:t>An Act to Strengthen Legislative Oversight of Government Agencies and Programs by Providing the Government Oversight Committee Access to Confidential Records</w:t>
      </w:r>
    </w:p>
    <w:p w14:paraId="77326B07" w14:textId="2A0A3B42" w:rsidR="001B7FE4" w:rsidRPr="0010502E" w:rsidRDefault="001B7FE4" w:rsidP="00822A17">
      <w:pPr>
        <w:pStyle w:val="ListParagraph"/>
        <w:ind w:left="1440"/>
        <w:jc w:val="both"/>
        <w:rPr>
          <w:rFonts w:ascii="Verdana" w:hAnsi="Verdana" w:cs="Arial"/>
          <w:color w:val="000000"/>
          <w:sz w:val="24"/>
          <w:szCs w:val="24"/>
        </w:rPr>
      </w:pPr>
    </w:p>
    <w:p w14:paraId="311C76DE" w14:textId="7564DD3D" w:rsidR="00E35077" w:rsidRPr="0010502E" w:rsidRDefault="00B822D6" w:rsidP="00822A17">
      <w:pPr>
        <w:jc w:val="both"/>
        <w:rPr>
          <w:rFonts w:ascii="Verdana" w:hAnsi="Verdana"/>
          <w:sz w:val="24"/>
          <w:szCs w:val="24"/>
        </w:rPr>
      </w:pPr>
      <w:r w:rsidRPr="0010502E">
        <w:rPr>
          <w:rFonts w:ascii="Verdana" w:hAnsi="Verdana"/>
          <w:sz w:val="24"/>
          <w:szCs w:val="24"/>
        </w:rPr>
        <w:t xml:space="preserve">On </w:t>
      </w:r>
      <w:r w:rsidR="00055AD3" w:rsidRPr="0010502E">
        <w:rPr>
          <w:rFonts w:ascii="Verdana" w:hAnsi="Verdana"/>
          <w:sz w:val="24"/>
          <w:szCs w:val="24"/>
        </w:rPr>
        <w:t xml:space="preserve">April 12, 2024, the Legislature enacted </w:t>
      </w:r>
      <w:r w:rsidR="00055AD3" w:rsidRPr="0010502E">
        <w:rPr>
          <w:rFonts w:ascii="Verdana" w:hAnsi="Verdana"/>
          <w:b/>
          <w:bCs/>
          <w:sz w:val="24"/>
          <w:szCs w:val="24"/>
        </w:rPr>
        <w:t>LD 1231: An Act to Bring Fairness in Income Taxes to Maine Families by Adjusting the Tax Brackets</w:t>
      </w:r>
      <w:r w:rsidR="00055AD3" w:rsidRPr="0010502E">
        <w:rPr>
          <w:rFonts w:ascii="Verdana" w:hAnsi="Verdana"/>
          <w:sz w:val="24"/>
          <w:szCs w:val="24"/>
        </w:rPr>
        <w:t>.</w:t>
      </w:r>
      <w:r w:rsidR="00873CCB" w:rsidRPr="0010502E">
        <w:rPr>
          <w:rFonts w:ascii="Verdana" w:hAnsi="Verdana"/>
          <w:sz w:val="24"/>
          <w:szCs w:val="24"/>
        </w:rPr>
        <w:t xml:space="preserve">  </w:t>
      </w:r>
      <w:r w:rsidR="001B611C" w:rsidRPr="0010502E">
        <w:rPr>
          <w:rFonts w:ascii="Verdana" w:hAnsi="Verdana"/>
          <w:sz w:val="24"/>
          <w:szCs w:val="24"/>
        </w:rPr>
        <w:t>However, the Governor vetoed the bill on April 26, 2024.  The Legislature sustained the Governor’s veto on May 10, 2024</w:t>
      </w:r>
      <w:r w:rsidR="00FD2F5E" w:rsidRPr="0010502E">
        <w:rPr>
          <w:rFonts w:ascii="Verdana" w:hAnsi="Verdana"/>
          <w:sz w:val="24"/>
          <w:szCs w:val="24"/>
        </w:rPr>
        <w:t>, so the bill is officially dead</w:t>
      </w:r>
      <w:r w:rsidR="001B611C" w:rsidRPr="0010502E">
        <w:rPr>
          <w:rFonts w:ascii="Verdana" w:hAnsi="Verdana"/>
          <w:sz w:val="24"/>
          <w:szCs w:val="24"/>
        </w:rPr>
        <w:t xml:space="preserve">.  </w:t>
      </w:r>
      <w:r w:rsidR="00873CCB" w:rsidRPr="0010502E">
        <w:rPr>
          <w:rFonts w:ascii="Verdana" w:hAnsi="Verdana"/>
          <w:sz w:val="24"/>
          <w:szCs w:val="24"/>
        </w:rPr>
        <w:t>This bill would have, beginning in 2025, changed the current income tax brackets by increasing the threshold amount of income subject to the lower current tax rate of 5.8%, 6.75% or 7.15%. The bill would have added three new income tax brackets and imposed tax rate of 7.55%, 7.15% and 8.45% in those new brackets.</w:t>
      </w:r>
    </w:p>
    <w:p w14:paraId="2FA2CB86" w14:textId="77777777" w:rsidR="00E35077" w:rsidRPr="0010502E" w:rsidRDefault="00E35077" w:rsidP="00822A17">
      <w:pPr>
        <w:jc w:val="both"/>
        <w:rPr>
          <w:rFonts w:ascii="Verdana" w:hAnsi="Verdana"/>
          <w:sz w:val="24"/>
          <w:szCs w:val="24"/>
        </w:rPr>
      </w:pPr>
    </w:p>
    <w:p w14:paraId="2BB2AC17" w14:textId="14B828F2" w:rsidR="009D39C5" w:rsidRPr="0010502E" w:rsidRDefault="007909AF" w:rsidP="00822A17">
      <w:pPr>
        <w:jc w:val="both"/>
        <w:rPr>
          <w:rFonts w:ascii="Verdana" w:hAnsi="Verdana"/>
          <w:sz w:val="24"/>
          <w:szCs w:val="24"/>
        </w:rPr>
      </w:pPr>
      <w:r w:rsidRPr="0010502E">
        <w:rPr>
          <w:rFonts w:ascii="Verdana" w:hAnsi="Verdana"/>
          <w:sz w:val="24"/>
          <w:szCs w:val="24"/>
        </w:rPr>
        <w:t>Finally</w:t>
      </w:r>
      <w:r w:rsidR="00E35077" w:rsidRPr="0010502E">
        <w:rPr>
          <w:rFonts w:ascii="Verdana" w:hAnsi="Verdana"/>
          <w:sz w:val="24"/>
          <w:szCs w:val="24"/>
        </w:rPr>
        <w:t xml:space="preserve">, the Governor’s supplemental budget, </w:t>
      </w:r>
      <w:hyperlink r:id="rId11" w:history="1">
        <w:r w:rsidR="00E22F72" w:rsidRPr="0010502E">
          <w:rPr>
            <w:rStyle w:val="Hyperlink"/>
            <w:rFonts w:ascii="Verdana" w:hAnsi="Verdana"/>
            <w:b/>
            <w:bCs/>
            <w:sz w:val="24"/>
            <w:szCs w:val="24"/>
          </w:rPr>
          <w:t>Public Law 2023, Chapter 643</w:t>
        </w:r>
      </w:hyperlink>
      <w:r w:rsidR="00E22F72" w:rsidRPr="0010502E">
        <w:rPr>
          <w:rFonts w:ascii="Verdana" w:hAnsi="Verdana"/>
          <w:sz w:val="24"/>
          <w:szCs w:val="24"/>
        </w:rPr>
        <w:t xml:space="preserve">, </w:t>
      </w:r>
      <w:r w:rsidR="00F54B88" w:rsidRPr="0010502E">
        <w:rPr>
          <w:rFonts w:ascii="Verdana" w:hAnsi="Verdana"/>
          <w:sz w:val="24"/>
          <w:szCs w:val="24"/>
        </w:rPr>
        <w:t xml:space="preserve">made </w:t>
      </w:r>
      <w:r w:rsidR="001F5245" w:rsidRPr="0010502E">
        <w:rPr>
          <w:rFonts w:ascii="Verdana" w:hAnsi="Verdana"/>
          <w:sz w:val="24"/>
          <w:szCs w:val="24"/>
        </w:rPr>
        <w:t xml:space="preserve">a couple changes to the sales tax.  Those changes are as follows: </w:t>
      </w:r>
    </w:p>
    <w:p w14:paraId="6C40C00E" w14:textId="77777777" w:rsidR="003D1319" w:rsidRPr="0010502E" w:rsidRDefault="003D1319" w:rsidP="00822A17">
      <w:pPr>
        <w:jc w:val="both"/>
        <w:rPr>
          <w:rFonts w:ascii="Verdana" w:hAnsi="Verdana"/>
          <w:sz w:val="24"/>
          <w:szCs w:val="24"/>
        </w:rPr>
      </w:pPr>
    </w:p>
    <w:p w14:paraId="666B356E" w14:textId="08B527E1" w:rsidR="00CE1903" w:rsidRPr="0010502E" w:rsidRDefault="009D39C5" w:rsidP="00CE1903">
      <w:pPr>
        <w:pStyle w:val="ListParagraph"/>
        <w:numPr>
          <w:ilvl w:val="0"/>
          <w:numId w:val="2"/>
        </w:numPr>
        <w:jc w:val="both"/>
        <w:rPr>
          <w:rFonts w:ascii="Verdana" w:hAnsi="Verdana" w:cs="Arial"/>
          <w:sz w:val="24"/>
          <w:szCs w:val="24"/>
        </w:rPr>
      </w:pPr>
      <w:r w:rsidRPr="0010502E">
        <w:rPr>
          <w:rFonts w:ascii="Verdana" w:hAnsi="Verdana" w:cs="Arial"/>
          <w:color w:val="000000"/>
          <w:sz w:val="24"/>
          <w:szCs w:val="24"/>
        </w:rPr>
        <w:t xml:space="preserve">Part H: </w:t>
      </w:r>
      <w:r w:rsidR="005C337A" w:rsidRPr="0010502E">
        <w:rPr>
          <w:rFonts w:ascii="Verdana" w:hAnsi="Verdana" w:cs="Arial"/>
          <w:sz w:val="24"/>
          <w:szCs w:val="24"/>
        </w:rPr>
        <w:t xml:space="preserve">Effective January 1, 2025, the term “sale” for Maine sales and use tax purposes includes leases and rentals of tangible personal property.  Thus, </w:t>
      </w:r>
      <w:r w:rsidR="006B2DB6" w:rsidRPr="0010502E">
        <w:rPr>
          <w:rFonts w:ascii="Verdana" w:hAnsi="Verdana" w:cs="Arial"/>
          <w:sz w:val="24"/>
          <w:szCs w:val="24"/>
        </w:rPr>
        <w:t>lease and rental payments will become subject to tax as of January 1, 2025, unless an exemption applies.</w:t>
      </w:r>
      <w:r w:rsidR="006D53CF" w:rsidRPr="0010502E">
        <w:rPr>
          <w:rFonts w:ascii="Verdana" w:hAnsi="Verdana" w:cs="Arial"/>
          <w:sz w:val="24"/>
          <w:szCs w:val="24"/>
        </w:rPr>
        <w:t xml:space="preserve">  </w:t>
      </w:r>
      <w:r w:rsidR="000E5C01" w:rsidRPr="0010502E">
        <w:rPr>
          <w:rFonts w:ascii="Verdana" w:hAnsi="Verdana" w:cs="Arial"/>
          <w:sz w:val="24"/>
          <w:szCs w:val="24"/>
        </w:rPr>
        <w:t xml:space="preserve">Under the new law, “lease or rental” is generally defined as “any transfer of possession or </w:t>
      </w:r>
      <w:r w:rsidR="00F425ED" w:rsidRPr="0010502E">
        <w:rPr>
          <w:rFonts w:ascii="Verdana" w:hAnsi="Verdana" w:cs="Arial"/>
          <w:sz w:val="24"/>
          <w:szCs w:val="24"/>
        </w:rPr>
        <w:t>control</w:t>
      </w:r>
      <w:r w:rsidR="000E5C01" w:rsidRPr="0010502E">
        <w:rPr>
          <w:rFonts w:ascii="Verdana" w:hAnsi="Verdana" w:cs="Arial"/>
          <w:sz w:val="24"/>
          <w:szCs w:val="24"/>
        </w:rPr>
        <w:t xml:space="preserve"> of tan</w:t>
      </w:r>
      <w:r w:rsidR="00F425ED" w:rsidRPr="0010502E">
        <w:rPr>
          <w:rFonts w:ascii="Verdana" w:hAnsi="Verdana" w:cs="Arial"/>
          <w:sz w:val="24"/>
          <w:szCs w:val="24"/>
        </w:rPr>
        <w:t xml:space="preserve">gible personal property for a fixed or indeterminate term </w:t>
      </w:r>
      <w:r w:rsidR="00791686" w:rsidRPr="0010502E">
        <w:rPr>
          <w:rFonts w:ascii="Verdana" w:hAnsi="Verdana" w:cs="Arial"/>
          <w:sz w:val="24"/>
          <w:szCs w:val="24"/>
        </w:rPr>
        <w:t>for consideration and may include future options to purchase the property or extend the lease or rental.”  Additional definitional inclusions and exclusions are provided.</w:t>
      </w:r>
    </w:p>
    <w:p w14:paraId="7CC6EE31" w14:textId="77777777" w:rsidR="00CE1903" w:rsidRPr="0010502E" w:rsidRDefault="00CE1903" w:rsidP="00CE1903">
      <w:pPr>
        <w:pStyle w:val="ListParagraph"/>
        <w:jc w:val="both"/>
        <w:rPr>
          <w:rFonts w:ascii="Verdana" w:hAnsi="Verdana" w:cs="Arial"/>
          <w:sz w:val="24"/>
          <w:szCs w:val="24"/>
        </w:rPr>
      </w:pPr>
    </w:p>
    <w:p w14:paraId="607E760E" w14:textId="0B9D827D" w:rsidR="00CE1903" w:rsidRPr="0010502E" w:rsidRDefault="00CE1903" w:rsidP="00CE1903">
      <w:pPr>
        <w:pStyle w:val="ListParagraph"/>
        <w:jc w:val="both"/>
        <w:rPr>
          <w:rFonts w:ascii="Verdana" w:hAnsi="Verdana" w:cs="Arial"/>
          <w:sz w:val="24"/>
          <w:szCs w:val="24"/>
        </w:rPr>
      </w:pPr>
      <w:r w:rsidRPr="0010502E">
        <w:rPr>
          <w:rFonts w:ascii="Verdana" w:hAnsi="Verdana" w:cs="Arial"/>
          <w:sz w:val="24"/>
          <w:szCs w:val="24"/>
        </w:rPr>
        <w:t xml:space="preserve">The new law provides an exclusion for the sale or lease or </w:t>
      </w:r>
      <w:r w:rsidR="00DD3D92" w:rsidRPr="0010502E">
        <w:rPr>
          <w:rFonts w:ascii="Verdana" w:hAnsi="Verdana" w:cs="Arial"/>
          <w:sz w:val="24"/>
          <w:szCs w:val="24"/>
        </w:rPr>
        <w:t>rental to a lessor that has been issued a resale certificate pursuant to section 1754-B, subsection 2-B or 2-C of tangible personal property for lease or rental.</w:t>
      </w:r>
    </w:p>
    <w:p w14:paraId="6FE9130E" w14:textId="77777777" w:rsidR="00147937" w:rsidRPr="0010502E" w:rsidRDefault="00147937" w:rsidP="00147937">
      <w:pPr>
        <w:pStyle w:val="ListParagraph"/>
        <w:jc w:val="both"/>
        <w:rPr>
          <w:rFonts w:ascii="Verdana" w:hAnsi="Verdana" w:cs="Arial"/>
          <w:sz w:val="24"/>
          <w:szCs w:val="24"/>
        </w:rPr>
      </w:pPr>
    </w:p>
    <w:p w14:paraId="47F84F2B" w14:textId="249B631C" w:rsidR="00147937" w:rsidRPr="0010502E" w:rsidRDefault="00DD3D92" w:rsidP="00147937">
      <w:pPr>
        <w:pStyle w:val="ListParagraph"/>
        <w:jc w:val="both"/>
        <w:rPr>
          <w:rFonts w:ascii="Verdana" w:hAnsi="Verdana" w:cs="Arial"/>
          <w:sz w:val="24"/>
          <w:szCs w:val="24"/>
        </w:rPr>
      </w:pPr>
      <w:r w:rsidRPr="0010502E">
        <w:rPr>
          <w:rFonts w:ascii="Verdana" w:hAnsi="Verdana" w:cs="Arial"/>
          <w:sz w:val="24"/>
          <w:szCs w:val="24"/>
        </w:rPr>
        <w:t>Additionally, t</w:t>
      </w:r>
      <w:r w:rsidR="00147937" w:rsidRPr="0010502E">
        <w:rPr>
          <w:rFonts w:ascii="Verdana" w:hAnsi="Verdana" w:cs="Arial"/>
          <w:sz w:val="24"/>
          <w:szCs w:val="24"/>
        </w:rPr>
        <w:t>he new law provides for a sales tax refund to qualified lessors who paid Maine sales or use tax on the purchase of qualifying lease or rental property on or after January 1, 2023, and before January 1, 2025, and who collected and remitted Maine sales or use tax on the lease or rental of qualifying lease or rental property on or after January 1, 2025.  A qualified lessor must file the refund claim between January 1, 2027, and March 31, 2027.</w:t>
      </w:r>
    </w:p>
    <w:p w14:paraId="36B9020C" w14:textId="77777777" w:rsidR="003D1319" w:rsidRPr="0010502E" w:rsidRDefault="003D1319" w:rsidP="003D1319">
      <w:pPr>
        <w:pStyle w:val="ListParagraph"/>
        <w:jc w:val="both"/>
        <w:rPr>
          <w:rFonts w:ascii="Verdana" w:hAnsi="Verdana"/>
          <w:sz w:val="24"/>
          <w:szCs w:val="24"/>
        </w:rPr>
      </w:pPr>
    </w:p>
    <w:p w14:paraId="37B893A3" w14:textId="36297BE7" w:rsidR="009D39C5" w:rsidRPr="0010502E" w:rsidRDefault="009D39C5" w:rsidP="00822A17">
      <w:pPr>
        <w:pStyle w:val="ListParagraph"/>
        <w:numPr>
          <w:ilvl w:val="0"/>
          <w:numId w:val="2"/>
        </w:numPr>
        <w:jc w:val="both"/>
        <w:rPr>
          <w:rFonts w:ascii="Verdana" w:hAnsi="Verdana"/>
          <w:sz w:val="24"/>
          <w:szCs w:val="24"/>
        </w:rPr>
      </w:pPr>
      <w:r w:rsidRPr="0010502E">
        <w:rPr>
          <w:rFonts w:ascii="Verdana" w:hAnsi="Verdana" w:cs="Arial"/>
          <w:sz w:val="24"/>
          <w:szCs w:val="24"/>
        </w:rPr>
        <w:t>Part XXX: This Part incorporates LD 2251, An Act to Amend the Mining Excise Tax Laws, with the amendment voted on by the Joint Standing Committee on Taxation. Th</w:t>
      </w:r>
      <w:r w:rsidR="00AC154D" w:rsidRPr="0010502E">
        <w:rPr>
          <w:rFonts w:ascii="Verdana" w:hAnsi="Verdana" w:cs="Arial"/>
          <w:sz w:val="24"/>
          <w:szCs w:val="24"/>
        </w:rPr>
        <w:t>is</w:t>
      </w:r>
      <w:r w:rsidRPr="0010502E">
        <w:rPr>
          <w:rFonts w:ascii="Verdana" w:hAnsi="Verdana" w:cs="Arial"/>
          <w:sz w:val="24"/>
          <w:szCs w:val="24"/>
        </w:rPr>
        <w:t xml:space="preserve"> Part makes changes to the mining excise tax as recommended by the Department of Administrative and Financial Services, Bureau of Revenue Services, Office of Tax Policy, as required by Resolve 2023, chapter 83, section 1, with changes to tax rate and revenue use voted on by the Taxation Committee. This Part: </w:t>
      </w:r>
    </w:p>
    <w:p w14:paraId="5520918B" w14:textId="77777777" w:rsidR="009D39C5" w:rsidRPr="0010502E" w:rsidRDefault="009D39C5" w:rsidP="00822A17">
      <w:pPr>
        <w:pStyle w:val="ListParagraph"/>
        <w:numPr>
          <w:ilvl w:val="1"/>
          <w:numId w:val="2"/>
        </w:numPr>
        <w:jc w:val="both"/>
        <w:rPr>
          <w:rFonts w:ascii="Verdana" w:hAnsi="Verdana"/>
          <w:sz w:val="24"/>
          <w:szCs w:val="24"/>
        </w:rPr>
      </w:pPr>
      <w:r w:rsidRPr="0010502E">
        <w:rPr>
          <w:rFonts w:ascii="Verdana" w:hAnsi="Verdana" w:cs="Arial"/>
          <w:sz w:val="24"/>
          <w:szCs w:val="24"/>
        </w:rPr>
        <w:t xml:space="preserve">Simplifies the excise tax imposed on a mining company by establishing a formula of the gross proceeds of that mining company multiplied by 0.05 and eliminating credits for payment of certain property taxes and prepayment of taxes; </w:t>
      </w:r>
    </w:p>
    <w:p w14:paraId="1D2A4231" w14:textId="77777777" w:rsidR="009D39C5" w:rsidRPr="0010502E" w:rsidRDefault="009D39C5" w:rsidP="00822A17">
      <w:pPr>
        <w:pStyle w:val="ListParagraph"/>
        <w:numPr>
          <w:ilvl w:val="1"/>
          <w:numId w:val="2"/>
        </w:numPr>
        <w:jc w:val="both"/>
        <w:rPr>
          <w:rFonts w:ascii="Verdana" w:hAnsi="Verdana"/>
          <w:sz w:val="24"/>
          <w:szCs w:val="24"/>
        </w:rPr>
      </w:pPr>
      <w:r w:rsidRPr="0010502E">
        <w:rPr>
          <w:rFonts w:ascii="Verdana" w:hAnsi="Verdana" w:cs="Arial"/>
          <w:sz w:val="24"/>
          <w:szCs w:val="24"/>
        </w:rPr>
        <w:t xml:space="preserve">Eliminates the Mining Impact Assistance Fund and the Mining Oversight Fund and simplifies the distribution of excise tax revenues by requiring 75% of revenue to be deposited in the Mining Excise Tax Trust Fund and 25% in the General Fund, instead of being split between municipal reimbursement, the Mining Oversight Fund, the General Fund, the Mining Excise Tax Trust Fund and the Mining Impact Assistance Fund; </w:t>
      </w:r>
    </w:p>
    <w:p w14:paraId="4D60AEBB" w14:textId="77777777" w:rsidR="009D39C5" w:rsidRPr="0010502E" w:rsidRDefault="009D39C5" w:rsidP="00822A17">
      <w:pPr>
        <w:pStyle w:val="ListParagraph"/>
        <w:numPr>
          <w:ilvl w:val="1"/>
          <w:numId w:val="2"/>
        </w:numPr>
        <w:jc w:val="both"/>
        <w:rPr>
          <w:rFonts w:ascii="Verdana" w:hAnsi="Verdana"/>
          <w:sz w:val="24"/>
          <w:szCs w:val="24"/>
        </w:rPr>
      </w:pPr>
      <w:r w:rsidRPr="0010502E">
        <w:rPr>
          <w:rFonts w:ascii="Verdana" w:hAnsi="Verdana" w:cs="Arial"/>
          <w:sz w:val="24"/>
          <w:szCs w:val="24"/>
        </w:rPr>
        <w:t>Aligns and better integrates the Maine Mining Excise Tax with the Maine Revised Statutes, Title 38 environmental mining statutes and regulations;</w:t>
      </w:r>
    </w:p>
    <w:p w14:paraId="3AF31A0D" w14:textId="77777777" w:rsidR="009D39C5" w:rsidRPr="0010502E" w:rsidRDefault="009D39C5" w:rsidP="00822A17">
      <w:pPr>
        <w:pStyle w:val="ListParagraph"/>
        <w:numPr>
          <w:ilvl w:val="1"/>
          <w:numId w:val="2"/>
        </w:numPr>
        <w:jc w:val="both"/>
        <w:rPr>
          <w:rFonts w:ascii="Verdana" w:hAnsi="Verdana"/>
          <w:sz w:val="24"/>
          <w:szCs w:val="24"/>
        </w:rPr>
      </w:pPr>
      <w:r w:rsidRPr="0010502E">
        <w:rPr>
          <w:rFonts w:ascii="Verdana" w:hAnsi="Verdana" w:cs="Arial"/>
          <w:sz w:val="24"/>
          <w:szCs w:val="24"/>
        </w:rPr>
        <w:lastRenderedPageBreak/>
        <w:t xml:space="preserve">Expands the refund of sales tax on depreciable machinery and equipment purchases to apply to commercial mining; and </w:t>
      </w:r>
    </w:p>
    <w:p w14:paraId="05E178BB" w14:textId="5DD0D34A" w:rsidR="0067051D" w:rsidRPr="0010502E" w:rsidRDefault="009D39C5" w:rsidP="00822A17">
      <w:pPr>
        <w:pStyle w:val="ListParagraph"/>
        <w:numPr>
          <w:ilvl w:val="1"/>
          <w:numId w:val="2"/>
        </w:numPr>
        <w:jc w:val="both"/>
        <w:rPr>
          <w:rFonts w:ascii="Verdana" w:hAnsi="Verdana"/>
          <w:sz w:val="24"/>
          <w:szCs w:val="24"/>
        </w:rPr>
      </w:pPr>
      <w:r w:rsidRPr="0010502E">
        <w:rPr>
          <w:rFonts w:ascii="Verdana" w:hAnsi="Verdana" w:cs="Arial"/>
          <w:sz w:val="24"/>
          <w:szCs w:val="24"/>
        </w:rPr>
        <w:t xml:space="preserve">Simplifies the business property tax provisions under Maine Revised Statutes, Title 36, Chapter 371, Mining Excise Tax, by applying general property tax administration and appeals processes while preserving the property tax exempt treatment of </w:t>
      </w:r>
      <w:proofErr w:type="spellStart"/>
      <w:r w:rsidRPr="0010502E">
        <w:rPr>
          <w:rFonts w:ascii="Verdana" w:hAnsi="Verdana" w:cs="Arial"/>
          <w:sz w:val="24"/>
          <w:szCs w:val="24"/>
        </w:rPr>
        <w:t>unextracted</w:t>
      </w:r>
      <w:proofErr w:type="spellEnd"/>
      <w:r w:rsidRPr="0010502E">
        <w:rPr>
          <w:rFonts w:ascii="Verdana" w:hAnsi="Verdana" w:cs="Arial"/>
          <w:sz w:val="24"/>
          <w:szCs w:val="24"/>
        </w:rPr>
        <w:t xml:space="preserve"> minerals.</w:t>
      </w:r>
      <w:bookmarkStart w:id="0" w:name="_GoBack"/>
      <w:bookmarkEnd w:id="0"/>
    </w:p>
    <w:sectPr w:rsidR="0067051D" w:rsidRPr="00105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86952"/>
    <w:multiLevelType w:val="hybridMultilevel"/>
    <w:tmpl w:val="58121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B1208"/>
    <w:multiLevelType w:val="hybridMultilevel"/>
    <w:tmpl w:val="CAA8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E795D"/>
    <w:multiLevelType w:val="hybridMultilevel"/>
    <w:tmpl w:val="8122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FC"/>
    <w:rsid w:val="00055AD3"/>
    <w:rsid w:val="000572AC"/>
    <w:rsid w:val="00091C06"/>
    <w:rsid w:val="000A4025"/>
    <w:rsid w:val="000E5C01"/>
    <w:rsid w:val="000E64F8"/>
    <w:rsid w:val="0010502E"/>
    <w:rsid w:val="00126849"/>
    <w:rsid w:val="00147937"/>
    <w:rsid w:val="001B611C"/>
    <w:rsid w:val="001B7FE4"/>
    <w:rsid w:val="001F5245"/>
    <w:rsid w:val="002715CB"/>
    <w:rsid w:val="00325C59"/>
    <w:rsid w:val="00383CA8"/>
    <w:rsid w:val="003B18F6"/>
    <w:rsid w:val="003D1319"/>
    <w:rsid w:val="00422380"/>
    <w:rsid w:val="00471487"/>
    <w:rsid w:val="00525EC9"/>
    <w:rsid w:val="00567BE6"/>
    <w:rsid w:val="005C337A"/>
    <w:rsid w:val="005C3522"/>
    <w:rsid w:val="0067051D"/>
    <w:rsid w:val="006B2DB6"/>
    <w:rsid w:val="006D53CF"/>
    <w:rsid w:val="00701FCD"/>
    <w:rsid w:val="0074338D"/>
    <w:rsid w:val="007706F3"/>
    <w:rsid w:val="007909AF"/>
    <w:rsid w:val="00791686"/>
    <w:rsid w:val="00793A4A"/>
    <w:rsid w:val="007B6E90"/>
    <w:rsid w:val="007E00CD"/>
    <w:rsid w:val="00822A17"/>
    <w:rsid w:val="00854EDA"/>
    <w:rsid w:val="00863B52"/>
    <w:rsid w:val="00873CCB"/>
    <w:rsid w:val="008A2C87"/>
    <w:rsid w:val="008F2CFC"/>
    <w:rsid w:val="008F3C79"/>
    <w:rsid w:val="009315C0"/>
    <w:rsid w:val="00941372"/>
    <w:rsid w:val="009667A1"/>
    <w:rsid w:val="009D3186"/>
    <w:rsid w:val="009D39C5"/>
    <w:rsid w:val="009F3522"/>
    <w:rsid w:val="009F50E5"/>
    <w:rsid w:val="009F64C8"/>
    <w:rsid w:val="00A37752"/>
    <w:rsid w:val="00A5228D"/>
    <w:rsid w:val="00AC154D"/>
    <w:rsid w:val="00B042F0"/>
    <w:rsid w:val="00B17F1C"/>
    <w:rsid w:val="00B4608A"/>
    <w:rsid w:val="00B675F1"/>
    <w:rsid w:val="00B822D6"/>
    <w:rsid w:val="00B8316C"/>
    <w:rsid w:val="00C139BD"/>
    <w:rsid w:val="00C67A60"/>
    <w:rsid w:val="00CE1903"/>
    <w:rsid w:val="00D148BD"/>
    <w:rsid w:val="00D2584C"/>
    <w:rsid w:val="00DC1CE7"/>
    <w:rsid w:val="00DD3D92"/>
    <w:rsid w:val="00E1396A"/>
    <w:rsid w:val="00E22F72"/>
    <w:rsid w:val="00E35077"/>
    <w:rsid w:val="00E9408B"/>
    <w:rsid w:val="00F07013"/>
    <w:rsid w:val="00F21EB5"/>
    <w:rsid w:val="00F425ED"/>
    <w:rsid w:val="00F54B88"/>
    <w:rsid w:val="00F90BB4"/>
    <w:rsid w:val="00FD2F5E"/>
    <w:rsid w:val="00FF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D75C"/>
  <w15:chartTrackingRefBased/>
  <w15:docId w15:val="{947CC2E4-3E95-4A5C-A06A-272E4427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FC"/>
    <w:pPr>
      <w:spacing w:after="0" w:line="240"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A4A"/>
    <w:pPr>
      <w:ind w:left="720"/>
      <w:contextualSpacing/>
    </w:pPr>
  </w:style>
  <w:style w:type="character" w:styleId="Hyperlink">
    <w:name w:val="Hyperlink"/>
    <w:basedOn w:val="DefaultParagraphFont"/>
    <w:uiPriority w:val="99"/>
    <w:unhideWhenUsed/>
    <w:rsid w:val="009F3522"/>
    <w:rPr>
      <w:color w:val="0563C1" w:themeColor="hyperlink"/>
      <w:u w:val="single"/>
    </w:rPr>
  </w:style>
  <w:style w:type="character" w:customStyle="1" w:styleId="UnresolvedMention">
    <w:name w:val="Unresolved Mention"/>
    <w:basedOn w:val="DefaultParagraphFont"/>
    <w:uiPriority w:val="99"/>
    <w:semiHidden/>
    <w:unhideWhenUsed/>
    <w:rsid w:val="009F3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0435">
      <w:bodyDiv w:val="1"/>
      <w:marLeft w:val="0"/>
      <w:marRight w:val="0"/>
      <w:marTop w:val="0"/>
      <w:marBottom w:val="0"/>
      <w:divBdr>
        <w:top w:val="none" w:sz="0" w:space="0" w:color="auto"/>
        <w:left w:val="none" w:sz="0" w:space="0" w:color="auto"/>
        <w:bottom w:val="none" w:sz="0" w:space="0" w:color="auto"/>
        <w:right w:val="none" w:sz="0" w:space="0" w:color="auto"/>
      </w:divBdr>
    </w:div>
    <w:div w:id="227032154">
      <w:bodyDiv w:val="1"/>
      <w:marLeft w:val="0"/>
      <w:marRight w:val="0"/>
      <w:marTop w:val="0"/>
      <w:marBottom w:val="0"/>
      <w:divBdr>
        <w:top w:val="none" w:sz="0" w:space="0" w:color="auto"/>
        <w:left w:val="none" w:sz="0" w:space="0" w:color="auto"/>
        <w:bottom w:val="none" w:sz="0" w:space="0" w:color="auto"/>
        <w:right w:val="none" w:sz="0" w:space="0" w:color="auto"/>
      </w:divBdr>
    </w:div>
    <w:div w:id="751200807">
      <w:bodyDiv w:val="1"/>
      <w:marLeft w:val="0"/>
      <w:marRight w:val="0"/>
      <w:marTop w:val="0"/>
      <w:marBottom w:val="0"/>
      <w:divBdr>
        <w:top w:val="none" w:sz="0" w:space="0" w:color="auto"/>
        <w:left w:val="none" w:sz="0" w:space="0" w:color="auto"/>
        <w:bottom w:val="none" w:sz="0" w:space="0" w:color="auto"/>
        <w:right w:val="none" w:sz="0" w:space="0" w:color="auto"/>
      </w:divBdr>
    </w:div>
    <w:div w:id="1648900438">
      <w:bodyDiv w:val="1"/>
      <w:marLeft w:val="0"/>
      <w:marRight w:val="0"/>
      <w:marTop w:val="0"/>
      <w:marBottom w:val="0"/>
      <w:divBdr>
        <w:top w:val="none" w:sz="0" w:space="0" w:color="auto"/>
        <w:left w:val="none" w:sz="0" w:space="0" w:color="auto"/>
        <w:bottom w:val="none" w:sz="0" w:space="0" w:color="auto"/>
        <w:right w:val="none" w:sz="0" w:space="0" w:color="auto"/>
      </w:divBdr>
    </w:div>
    <w:div w:id="17482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legislature.org/legis/bills/getPDF.asp?paper=HP1252&amp;item=3&amp;snum=1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inelegislature.org/legis/bills/getPDF.asp?paper=HP1212&amp;item=3&amp;snum=1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legislature.org/legis/bills/getPDF.asp?paper=HP0851&amp;item=3&amp;snum=131" TargetMode="External"/><Relationship Id="rId11" Type="http://schemas.openxmlformats.org/officeDocument/2006/relationships/hyperlink" Target="https://www.mainelegislature.org/legis/bills/getPDF.asp?paper=HP1420&amp;item=23&amp;snum=131" TargetMode="External"/><Relationship Id="rId5" Type="http://schemas.openxmlformats.org/officeDocument/2006/relationships/hyperlink" Target="https://www.mainelegislature.org/legis/bills/getPDF.asp?paper=HP0492&amp;item=3&amp;snum=131" TargetMode="External"/><Relationship Id="rId10" Type="http://schemas.openxmlformats.org/officeDocument/2006/relationships/hyperlink" Target="https://www.mainelegislature.org/legis/bills/getPDF.asp?paper=SP0689&amp;item=1&amp;snum=131" TargetMode="External"/><Relationship Id="rId4" Type="http://schemas.openxmlformats.org/officeDocument/2006/relationships/webSettings" Target="webSettings.xml"/><Relationship Id="rId9" Type="http://schemas.openxmlformats.org/officeDocument/2006/relationships/hyperlink" Target="https://www.mainelegislature.org/legis/bills/getPDF.asp?paper=SP0211&amp;item=1&amp;snum=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Price</dc:creator>
  <cp:keywords/>
  <dc:description/>
  <cp:lastModifiedBy>Patricia Brigham</cp:lastModifiedBy>
  <cp:revision>68</cp:revision>
  <dcterms:created xsi:type="dcterms:W3CDTF">2024-05-14T17:06:00Z</dcterms:created>
  <dcterms:modified xsi:type="dcterms:W3CDTF">2024-06-11T16:39:00Z</dcterms:modified>
</cp:coreProperties>
</file>